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1133.8582677165355" w:right="4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DE ESTADO DE SAÚDE DO AMAZONAS – </w:t>
      </w:r>
      <w:r w:rsidDel="00000000" w:rsidR="00000000" w:rsidRPr="00000000">
        <w:rPr>
          <w:b w:val="1"/>
          <w:rtl w:val="0"/>
        </w:rPr>
        <w:t xml:space="preserve">SES</w:t>
      </w:r>
      <w:r w:rsidDel="00000000" w:rsidR="00000000" w:rsidRPr="00000000">
        <w:rPr>
          <w:b w:val="1"/>
          <w:rtl w:val="0"/>
        </w:rPr>
        <w:t xml:space="preserve">/AM</w:t>
      </w:r>
    </w:p>
    <w:p w:rsidR="00000000" w:rsidDel="00000000" w:rsidP="00000000" w:rsidRDefault="00000000" w:rsidRPr="00000000" w14:paraId="00000002">
      <w:pPr>
        <w:spacing w:after="0" w:line="360" w:lineRule="auto"/>
        <w:ind w:left="1133.8582677165355" w:right="4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ESTUDO TÉCNICO PRELIMINAR (</w:t>
      </w:r>
      <w:r w:rsidDel="00000000" w:rsidR="00000000" w:rsidRPr="00000000">
        <w:rPr>
          <w:b w:val="1"/>
          <w:rtl w:val="0"/>
        </w:rPr>
        <w:t xml:space="preserve">ETP</w:t>
      </w:r>
      <w:r w:rsidDel="00000000" w:rsidR="00000000" w:rsidRPr="00000000">
        <w:rPr>
          <w:b w:val="1"/>
          <w:rtl w:val="0"/>
        </w:rPr>
        <w:t xml:space="preserve">) </w:t>
      </w:r>
    </w:p>
    <w:p w:rsidR="00000000" w:rsidDel="00000000" w:rsidP="00000000" w:rsidRDefault="00000000" w:rsidRPr="00000000" w14:paraId="00000003">
      <w:pPr>
        <w:spacing w:after="0" w:line="360" w:lineRule="auto"/>
        <w:ind w:left="1133.8582677165355" w:right="435" w:firstLine="0"/>
        <w:jc w:val="center"/>
        <w:rPr/>
      </w:pPr>
      <w:r w:rsidDel="00000000" w:rsidR="00000000" w:rsidRPr="00000000">
        <w:rPr>
          <w:b w:val="1"/>
          <w:rtl w:val="0"/>
        </w:rPr>
        <w:t xml:space="preserve">Versão atualizada xx de mês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133.8582677165355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Texto Modelo: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Contratação de empresa especializada na prestação de serviços de Manutenção de Rede de Gases Medicinais, Ar Medicinal e Vácuo Clínico, para atender as necessidades das Unidades de Saúde vinculadas à Secretaria de Estado de Saúde (SES), localizadas no Município de Manaus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1133.8582677165355" w:right="435" w:firstLine="0"/>
        <w:rPr>
          <w:i w:val="1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Atenção: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Manter a formatação do modelo de ETP, com vistas a padronizar os documentos gerados pela SES/AM.</w:t>
      </w:r>
    </w:p>
    <w:p w:rsidR="00000000" w:rsidDel="00000000" w:rsidP="00000000" w:rsidRDefault="00000000" w:rsidRPr="00000000" w14:paraId="00000006">
      <w:pPr>
        <w:ind w:left="1133.8582677165355" w:right="435" w:firstLine="0"/>
        <w:rPr>
          <w:i w:val="1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Orientações:</w:t>
      </w:r>
      <w:r w:rsidDel="00000000" w:rsidR="00000000" w:rsidRPr="00000000">
        <w:rPr>
          <w:i w:val="1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O ETP é um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contratação. (Lei n.º 14.133, de 01 de abril de 2021; Decreto Estadual n.º 47.133 de 10 de março de 2023; INSTRUÇÃO NORMATIVA SEGES, Nº 58, DE 08 DE AGOSTO DE 2022).</w:t>
      </w: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5"/>
        <w:gridCol w:w="1680"/>
        <w:gridCol w:w="3540"/>
        <w:tblGridChange w:id="0">
          <w:tblGrid>
            <w:gridCol w:w="3855"/>
            <w:gridCol w:w="1680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right="-81.259842519683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IDENTIFICAÇÃO DO REQUISITANTE RESPONSÁVEL PELA ELABORAÇÃO DO ETP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both"/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Secretaria responsável pelo demandante: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both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both"/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Número do processo: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right="-81.259842519683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RESPONSÁVEIS PELA AQUISIÇÃO/CONTRATAÇÃO (CONFORME ART. 55, I, DO DECRETO 47.133/2023)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center"/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Nome do Servidor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center"/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Matrícula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1.25984251968362" w:firstLine="0"/>
              <w:jc w:val="center"/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Setor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both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center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both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center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both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both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center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-81.25984251968362" w:firstLine="0"/>
              <w:jc w:val="both"/>
              <w:rPr>
                <w:smallCaps w:val="0"/>
                <w:strike w:val="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2uztxwq6ffps" w:id="1"/>
      <w:bookmarkEnd w:id="1"/>
      <w:r w:rsidDel="00000000" w:rsidR="00000000" w:rsidRPr="00000000">
        <w:rPr>
          <w:rtl w:val="0"/>
        </w:rPr>
        <w:t xml:space="preserve">DESCRIÇÃO DA NECESSIDADE DA CONTRATAÇÃO, CONSIDERADO O PROBLEMA A SER RESOLVIDO SOB A PERSPECTIVA DO INTERESSE PÚBLICO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I DA LEI 14.133/2021). ESTE CAMPO É OBRIGATÓRIO O PREENCHIMENTO.</w:t>
      </w:r>
    </w:p>
    <w:p w:rsidR="00000000" w:rsidDel="00000000" w:rsidP="00000000" w:rsidRDefault="00000000" w:rsidRPr="00000000" w14:paraId="00000020">
      <w:pPr>
        <w:ind w:left="1133.8582677165355" w:right="4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Preliminar;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Descrever a necessidade da aquisição/contratação, considerando o problema a ser resolvido de acordo com o interesse público. Quanto mais detalhada a descrição, melhor será a identificação dos requisitos necessários para a contratação.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</w:p>
    <w:p w:rsidR="00000000" w:rsidDel="00000000" w:rsidP="00000000" w:rsidRDefault="00000000" w:rsidRPr="00000000" w14:paraId="00000024">
      <w:pPr>
        <w:numPr>
          <w:ilvl w:val="3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Citar os P</w:t>
      </w:r>
      <w:r w:rsidDel="00000000" w:rsidR="00000000" w:rsidRPr="00000000">
        <w:rPr>
          <w:rtl w:val="0"/>
        </w:rPr>
        <w:t xml:space="preserve">lanos Estratégicos da Saúde: Plano Estadual de Saúde (PES) e a Programação Anual de Saúde (PAS) Disponível em: &lt;</w:t>
      </w:r>
      <w:hyperlink r:id="rId6">
        <w:r w:rsidDel="00000000" w:rsidR="00000000" w:rsidRPr="00000000">
          <w:rPr>
            <w:rtl w:val="0"/>
          </w:rPr>
          <w:t xml:space="preserve">https://www.saude.am.gov.br/planos-e-relatorios/</w:t>
        </w:r>
      </w:hyperlink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25">
      <w:pPr>
        <w:numPr>
          <w:ilvl w:val="4"/>
          <w:numId w:val="2"/>
        </w:numPr>
        <w:ind w:left="1140" w:right="435" w:firstLine="0"/>
        <w:rPr>
          <w:u w:val="none"/>
        </w:rPr>
      </w:pPr>
      <w:r w:rsidDel="00000000" w:rsidR="00000000" w:rsidRPr="00000000">
        <w:rPr>
          <w:rtl w:val="0"/>
        </w:rPr>
        <w:t xml:space="preserve">Texto</w:t>
      </w:r>
    </w:p>
    <w:p w:rsidR="00000000" w:rsidDel="00000000" w:rsidP="00000000" w:rsidRDefault="00000000" w:rsidRPr="00000000" w14:paraId="00000026">
      <w:pPr>
        <w:numPr>
          <w:ilvl w:val="5"/>
          <w:numId w:val="2"/>
        </w:numPr>
        <w:ind w:left="1140" w:right="435" w:firstLine="0"/>
        <w:rPr>
          <w:u w:val="none"/>
        </w:rPr>
      </w:pPr>
      <w:r w:rsidDel="00000000" w:rsidR="00000000" w:rsidRPr="00000000">
        <w:rPr>
          <w:rtl w:val="0"/>
        </w:rPr>
        <w:t xml:space="preserve">Texto</w:t>
      </w:r>
    </w:p>
    <w:p w:rsidR="00000000" w:rsidDel="00000000" w:rsidP="00000000" w:rsidRDefault="00000000" w:rsidRPr="00000000" w14:paraId="00000027">
      <w:pPr>
        <w:spacing w:line="360" w:lineRule="auto"/>
        <w:ind w:left="0" w:right="435" w:firstLine="1133.858267716535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omvybnawumpe" w:id="2"/>
      <w:bookmarkEnd w:id="2"/>
      <w:r w:rsidDel="00000000" w:rsidR="00000000" w:rsidRPr="00000000">
        <w:rPr>
          <w:rtl w:val="0"/>
        </w:rPr>
        <w:t xml:space="preserve">DEMONSTRAÇÃO DA PREVISÃO DA CONTRATAÇÃO NO PLANO DE CONTRATAÇÕES </w:t>
      </w:r>
      <w:r w:rsidDel="00000000" w:rsidR="00000000" w:rsidRPr="00000000">
        <w:rPr>
          <w:rtl w:val="0"/>
        </w:rPr>
        <w:t xml:space="preserve">ANUAL</w:t>
      </w:r>
      <w:r w:rsidDel="00000000" w:rsidR="00000000" w:rsidRPr="00000000">
        <w:rPr>
          <w:rtl w:val="0"/>
        </w:rPr>
        <w:t xml:space="preserve">, SEMPRE QUE ELABORADO, DE MODO A INDICAR O SEU ALINHAMENTO COM O PLANEJAMENTO DA ADMINISTRAÇÃO.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II DA LEI 14.133/2021, ART. 55, II DO DECRETO 47.133/2023, E ARTS. 11, 12 E 14, § 2º, DO DECRETO Nº 47.133/2023, AS HIPÓTESES PREVISTAS NOS INCISOS VI, VII E VIII DO CAPUT DO ARTIGO 75 DA NLLC E PEQUENAS COMPRAS E SERVIÇOS DE PRONTO PAGAMENTO DO ART. 95, §2º, TODOS DA LEI Nº 14.133/21). EM CASO DO NÃO PREENCHIMENTO DESTE CAMPO, DEVEM SER APRESENTADAS AS DEVIDAS JUSTIFICATIVAS.</w:t>
      </w:r>
    </w:p>
    <w:p w:rsidR="00000000" w:rsidDel="00000000" w:rsidP="00000000" w:rsidRDefault="00000000" w:rsidRPr="00000000" w14:paraId="00000029">
      <w:pPr>
        <w:ind w:left="1133.8582677165355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Preliminar;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De acordo com o Decreto 47.133/2023 a Contratação deve estar prevista no Plano de Contratações Anuais, dessa forma esse campo deve ser demonstrado objetivamente que a contratação está no PCA</w:t>
      </w:r>
      <w:r w:rsidDel="00000000" w:rsidR="00000000" w:rsidRPr="00000000">
        <w:rPr>
          <w:rtl w:val="0"/>
        </w:rPr>
        <w:t xml:space="preserve"> da Secretaria de Estado de Saúde – SES/AM, Disponível em:</w:t>
      </w:r>
    </w:p>
    <w:p w:rsidR="00000000" w:rsidDel="00000000" w:rsidP="00000000" w:rsidRDefault="00000000" w:rsidRPr="00000000" w14:paraId="0000002C">
      <w:pPr>
        <w:ind w:left="1140" w:right="435" w:firstLine="0"/>
        <w:rPr/>
      </w:pPr>
      <w:r w:rsidDel="00000000" w:rsidR="00000000" w:rsidRPr="00000000">
        <w:rPr>
          <w:rtl w:val="0"/>
        </w:rPr>
        <w:t xml:space="preserve">&lt;https://www.e-compras.am.gov.br/publico/relatorio_plano_anual_compras.asp.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Caso ainda não esteja no Plano, encaminhe o Documento de Oficialização da Demanda ao setor competente para inclusão.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left="1133.8582677165355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558toat0kaxc" w:id="3"/>
      <w:bookmarkEnd w:id="3"/>
      <w:r w:rsidDel="00000000" w:rsidR="00000000" w:rsidRPr="00000000">
        <w:rPr>
          <w:rtl w:val="0"/>
        </w:rPr>
        <w:t xml:space="preserve">REQUISITOS DA CONTRATAÇÃO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III DA LEI 14.133/2021 E ART. 55, III DO DECRETO 47.133/2023). EM CASO DO NÃO PREENCHIMENTO DESTE CAMPO, DEVEM SER APRESENTADAS AS DEVIDAS JUSTIFICATIVAS.</w:t>
      </w:r>
    </w:p>
    <w:p w:rsidR="00000000" w:rsidDel="00000000" w:rsidP="00000000" w:rsidRDefault="00000000" w:rsidRPr="00000000" w14:paraId="00000030">
      <w:pPr>
        <w:ind w:left="720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Descrever os requisitos essenciais e importantes para a contratação com vistas ao atendimento da necessidade especificada. Critérios e práticas de sustentabilidade devem ser incluídos neste item.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Sobre as Garantias / Assistência Técnica / admissão de subcontratação parcial do objeto / vistoria prévia no(s) local(is) de execução / contratação através de consórcio: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Descrever as particularidades da demanda que necessite (ou não) de uma garantia e/ou assistência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4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heknqkgbc86d" w:id="4"/>
      <w:bookmarkEnd w:id="4"/>
      <w:r w:rsidDel="00000000" w:rsidR="00000000" w:rsidRPr="00000000">
        <w:rPr>
          <w:rtl w:val="0"/>
        </w:rPr>
        <w:t xml:space="preserve">ESTIMATIVAS DAS QUANTIDADES PARA A CONTRATAÇÃO, ACOMPANHADAS DAS MEMÓRIAS DE CÁLCULO E DOS DOCUMENTOS QUE LHES DÃO SUPORTE, QUE CONSIDEREM INTERDEPENDÊNCIAS COM OUTRAS CONTRATAÇÕES, DE MODO A POSSIBILITAR ECONOMIA DE ESCALA.</w:t>
      </w:r>
      <w:r w:rsidDel="00000000" w:rsidR="00000000" w:rsidRPr="00000000">
        <w:rPr>
          <w:b w:val="0"/>
          <w:sz w:val="16"/>
          <w:szCs w:val="16"/>
          <w:rtl w:val="0"/>
        </w:rPr>
        <w:t xml:space="preserve"> (CONFORME ART. 18, § 1º, IV, DA LEI 14.133/2021). ESTE CAMPO É OBRIGATÓRIO O PREENCHIMENTO.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133.8582677165352" w:right="4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 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</w:t>
      </w:r>
      <w:r w:rsidDel="00000000" w:rsidR="00000000" w:rsidRPr="00000000">
        <w:rPr>
          <w:rtl w:val="0"/>
        </w:rPr>
        <w:t xml:space="preserve">: Apresentar as memórias de cálculo, com vistas a justificar as quantidades solicitadas para cada item da solução pretendida. Essas quantidades devem ser estimadas em função do consumo e da provável utilização, na forma disposta no inciso III do art. 40 da Lei Federal 14.133/2021. </w:t>
      </w:r>
      <w:r w:rsidDel="00000000" w:rsidR="00000000" w:rsidRPr="00000000">
        <w:rPr>
          <w:rtl w:val="0"/>
        </w:rPr>
        <w:t xml:space="preserve">Se a descrição do item já possuir o referido ID, informar a numeração do mesmo. Quando for necessária a catalogação do ID, pode informar a descrição através de link com fins de agilizar a identificação para a contratação.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Informe ou anexe os documentos que dão suporte para a definição dessa quantidade (memórias de cálculo).</w:t>
      </w:r>
    </w:p>
    <w:p w:rsidR="00000000" w:rsidDel="00000000" w:rsidP="00000000" w:rsidRDefault="00000000" w:rsidRPr="00000000" w14:paraId="0000003B">
      <w:pPr>
        <w:spacing w:line="24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X – Estimativa Final de Quantidades.</w:t>
      </w:r>
    </w:p>
    <w:tbl>
      <w:tblPr>
        <w:tblStyle w:val="Table2"/>
        <w:tblW w:w="8910.0" w:type="dxa"/>
        <w:jc w:val="left"/>
        <w:tblInd w:w="12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975"/>
        <w:gridCol w:w="3540"/>
        <w:gridCol w:w="1050"/>
        <w:gridCol w:w="1485"/>
        <w:gridCol w:w="1215"/>
        <w:tblGridChange w:id="0">
          <w:tblGrid>
            <w:gridCol w:w="645"/>
            <w:gridCol w:w="975"/>
            <w:gridCol w:w="3540"/>
            <w:gridCol w:w="1050"/>
            <w:gridCol w:w="1485"/>
            <w:gridCol w:w="12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Lote 1 ou lote único.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ID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DESCRIÇÃO DO OBJETO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(Mensal)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(Anual)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 = A x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5" w:val="single"/>
              <w:bottom w:color="000000" w:space="0" w:sz="8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Fontes: (Originado…)</w:t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zhdxtpxj4xf2" w:id="5"/>
      <w:bookmarkEnd w:id="5"/>
      <w:r w:rsidDel="00000000" w:rsidR="00000000" w:rsidRPr="00000000">
        <w:rPr>
          <w:rtl w:val="0"/>
        </w:rPr>
        <w:t xml:space="preserve">LEVANTAMENTO DE MERCADO, QUE CONSISTE NA ANÁLISE DAS ALTERNATIVAS POSSÍVEIS, E JUSTIFICATIVA TÉCNICA E ECONÔMICA DA ESCOLHA DO TIPO DE SOLUÇÃO A CONTRATAR;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V DA LEI 14.133/2021). EM CASO DO NÃO PREENCHIMENTO DESTE CAMPO, DEVEM SER APRESENTADAS AS DEVIDAS JUSTIFICATIVAS.</w:t>
      </w:r>
    </w:p>
    <w:p w:rsidR="00000000" w:rsidDel="00000000" w:rsidP="00000000" w:rsidRDefault="00000000" w:rsidRPr="00000000" w14:paraId="00000056">
      <w:pPr>
        <w:ind w:left="1133.8582677165355" w:right="435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 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Pesquisar e realizar prospecções de diferentes soluções e alternativas existentes no mercado, com vistas a atender à necessidade em questão. Importante realizar uma comparação de forma objetiva, considerando os custos e benefícios durante o ciclo de vida do objeto (melhor relação custo-benefício), de acordo com o que consta no art. 11, I, da Lei Federal 14.133/2021.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Instrução Normativa Seges Nº 58, de 8 de agosto De 2022;</w:t>
      </w:r>
    </w:p>
    <w:p w:rsidR="00000000" w:rsidDel="00000000" w:rsidP="00000000" w:rsidRDefault="00000000" w:rsidRPr="00000000" w14:paraId="0000005A">
      <w:pPr>
        <w:numPr>
          <w:ilvl w:val="3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Considerar, se possível,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:rsidR="00000000" w:rsidDel="00000000" w:rsidP="00000000" w:rsidRDefault="00000000" w:rsidRPr="00000000" w14:paraId="0000005B">
      <w:pPr>
        <w:numPr>
          <w:ilvl w:val="3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Realizar audiência e/ou consulta pública, preferencialmente na forma eletrônica, para coleta de contribuições;</w:t>
      </w:r>
    </w:p>
    <w:p w:rsidR="00000000" w:rsidDel="00000000" w:rsidP="00000000" w:rsidRDefault="00000000" w:rsidRPr="00000000" w14:paraId="0000005C">
      <w:pPr>
        <w:numPr>
          <w:ilvl w:val="3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Nos casos de possibilidade de compra, locação de bens ou do acesso a bens, ser avaliados os custos e os benefícios de cada opção para escolha da alternativa mais vantajosa, prospectando-se arranjos inovadores em sede de economia circular; e</w:t>
      </w:r>
    </w:p>
    <w:p w:rsidR="00000000" w:rsidDel="00000000" w:rsidP="00000000" w:rsidRDefault="00000000" w:rsidRPr="00000000" w14:paraId="0000005D">
      <w:pPr>
        <w:numPr>
          <w:ilvl w:val="3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Considerar outras opções de logísticas menos onerosas à Administração, tais como chamamentos públicos de doação e permutas.</w:t>
      </w:r>
    </w:p>
    <w:p w:rsidR="00000000" w:rsidDel="00000000" w:rsidP="00000000" w:rsidRDefault="00000000" w:rsidRPr="00000000" w14:paraId="0000005E">
      <w:pPr>
        <w:spacing w:line="240" w:lineRule="auto"/>
        <w:ind w:left="1700.7874015748032" w:right="435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X - Síntese do Levantamento de Mercado</w:t>
      </w: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1133.85826771653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445"/>
        <w:gridCol w:w="2430"/>
        <w:gridCol w:w="2670"/>
        <w:tblGridChange w:id="0">
          <w:tblGrid>
            <w:gridCol w:w="1545"/>
            <w:gridCol w:w="2445"/>
            <w:gridCol w:w="2430"/>
            <w:gridCol w:w="2670"/>
          </w:tblGrid>
        </w:tblGridChange>
      </w:tblGrid>
      <w:tr>
        <w:trPr>
          <w:cantSplit w:val="0"/>
          <w:trHeight w:val="400" w:hRule="atLeast"/>
          <w:tblHeader w:val="1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Planilha de Opções para Atender a Demanda da Secretaria de Saúde</w:t>
            </w:r>
          </w:p>
        </w:tc>
      </w:tr>
      <w:tr>
        <w:trPr>
          <w:cantSplit w:val="0"/>
          <w:tblHeader w:val="1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Vantagens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Desvantagens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Alternativa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Alternativa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Alternativa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Alternativa n..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(Oriundas …)</w:t>
      </w:r>
    </w:p>
    <w:p w:rsidR="00000000" w:rsidDel="00000000" w:rsidP="00000000" w:rsidRDefault="00000000" w:rsidRPr="00000000" w14:paraId="00000078">
      <w:pPr>
        <w:pStyle w:val="Heading3"/>
        <w:numPr>
          <w:ilvl w:val="1"/>
          <w:numId w:val="2"/>
        </w:numPr>
        <w:spacing w:before="0" w:lineRule="auto"/>
        <w:ind w:left="1140" w:right="435" w:firstLine="0"/>
        <w:rPr/>
      </w:pPr>
      <w:bookmarkStart w:colFirst="0" w:colLast="0" w:name="_8y135zxr5yk5" w:id="6"/>
      <w:bookmarkEnd w:id="6"/>
      <w:r w:rsidDel="00000000" w:rsidR="00000000" w:rsidRPr="00000000">
        <w:rPr>
          <w:sz w:val="24"/>
          <w:szCs w:val="24"/>
          <w:rtl w:val="0"/>
        </w:rPr>
        <w:t xml:space="preserve">Justificativa da Opção de Contratação.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spacing w:after="200" w:lineRule="auto"/>
        <w:ind w:left="1140" w:right="435" w:firstLine="0"/>
      </w:pPr>
      <w:r w:rsidDel="00000000" w:rsidR="00000000" w:rsidRPr="00000000">
        <w:rPr>
          <w:rtl w:val="0"/>
        </w:rPr>
        <w:t xml:space="preserve">Justificar o porquê a opção escolhida e a melhor opção para a gestão pública.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qj1kkkt8fneq" w:id="7"/>
      <w:bookmarkEnd w:id="7"/>
      <w:r w:rsidDel="00000000" w:rsidR="00000000" w:rsidRPr="00000000">
        <w:rPr>
          <w:rtl w:val="0"/>
        </w:rPr>
        <w:t xml:space="preserve"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  <w:r w:rsidDel="00000000" w:rsidR="00000000" w:rsidRPr="00000000">
        <w:rPr>
          <w:b w:val="0"/>
          <w:sz w:val="16"/>
          <w:szCs w:val="16"/>
          <w:rtl w:val="0"/>
        </w:rPr>
        <w:t xml:space="preserve"> (CONFORME ART. 18, § 1º, VI DA LEI 14.133/2021). ESTE CAMPO É OBRIGATÓRIO O PREENCHIMENTO.</w:t>
      </w:r>
    </w:p>
    <w:p w:rsidR="00000000" w:rsidDel="00000000" w:rsidP="00000000" w:rsidRDefault="00000000" w:rsidRPr="00000000" w14:paraId="0000007B">
      <w:pPr>
        <w:ind w:left="1133.8582677165355" w:right="430.275590551182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 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Refere-se a uma estimativa preliminar que pode ser realizada com base em contratações similares, contratos anteriores do próprio órgão ou também nos parâmetros do Art. 23 da Lei Federal 14.133/2021. Possui como objetivo selecionar a melhor solução para suprir a necessidade da Administração, bem como analisar a viabilidade econômica da contratação.</w:t>
      </w:r>
    </w:p>
    <w:p w:rsidR="00000000" w:rsidDel="00000000" w:rsidP="00000000" w:rsidRDefault="00000000" w:rsidRPr="00000000" w14:paraId="0000007E">
      <w:pPr>
        <w:spacing w:line="240" w:lineRule="auto"/>
        <w:ind w:left="1133.8582677165355" w:right="435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x - Resultado da Pesquisa para Estimativas de Valor</w:t>
      </w:r>
    </w:p>
    <w:tbl>
      <w:tblPr>
        <w:tblStyle w:val="Table4"/>
        <w:tblW w:w="9075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735"/>
        <w:gridCol w:w="3195"/>
        <w:gridCol w:w="990"/>
        <w:gridCol w:w="1005"/>
        <w:gridCol w:w="1095"/>
        <w:gridCol w:w="1395"/>
        <w:tblGridChange w:id="0">
          <w:tblGrid>
            <w:gridCol w:w="660"/>
            <w:gridCol w:w="735"/>
            <w:gridCol w:w="3195"/>
            <w:gridCol w:w="990"/>
            <w:gridCol w:w="1005"/>
            <w:gridCol w:w="1095"/>
            <w:gridCol w:w="1395"/>
          </w:tblGrid>
        </w:tblGridChange>
      </w:tblGrid>
      <w:tr>
        <w:trPr>
          <w:cantSplit w:val="0"/>
          <w:trHeight w:val="380" w:hRule="atLeast"/>
          <w:tblHeader w:val="1"/>
        </w:trPr>
        <w:tc>
          <w:tcPr>
            <w:gridSpan w:val="7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Descrição Sintética</w:t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ID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Especificação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(Mensal)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UNITÁRIO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MENSAL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.333333333343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ind w:left="0" w:right="0.47244094488178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151145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SERVIÇOS DE MANUTENÇÃO NA REDE DE GASES MEDICINAIS, Contratação de empresa especializada em serviço na rede de gases com instalação, manutenção preventiva e ou corretiva de redes de gases medicinais, com reposição de peças, para unidade de pequeno porte (PP) e hospitais de pequeno porte (HPP) em conformidade com as normas ABNT e legislação, conforme o Termo de Referência.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426"/>
              </w:tabs>
              <w:spacing w:after="120" w:lineRule="auto"/>
              <w:ind w:left="0" w:right="0.47244094488178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Serviço mensal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ind w:left="0" w:right="0.47244094488178234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5000</w:t>
            </w:r>
          </w:p>
        </w:tc>
      </w:tr>
    </w:tbl>
    <w:p w:rsidR="00000000" w:rsidDel="00000000" w:rsidP="00000000" w:rsidRDefault="00000000" w:rsidRPr="00000000" w14:paraId="0000009F">
      <w:pPr>
        <w:spacing w:line="240" w:lineRule="auto"/>
        <w:ind w:left="1133.8582677165355" w:right="430.275590551182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Fontes:()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ci8txws2h5qp" w:id="8"/>
      <w:bookmarkEnd w:id="8"/>
      <w:r w:rsidDel="00000000" w:rsidR="00000000" w:rsidRPr="00000000">
        <w:rPr>
          <w:rtl w:val="0"/>
        </w:rPr>
        <w:t xml:space="preserve">DESCRIÇÃO DA SOLUÇÃO COMO UM TODO, INCLUSIVE DAS EXIGÊNCIAS RELACIONADAS À MANUTENÇÃO E À ASSISTÊNCIA TÉCNICA, QUANDO FOR O CASO;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VII DA LEI 14.133/2021). EM CASO DO NÃO PREENCHIMENTO DESTE CAMPO, DEVEM SER APRESENTADAS AS DEVIDAS JUSTIFICATIVAS.</w:t>
      </w:r>
    </w:p>
    <w:p w:rsidR="00000000" w:rsidDel="00000000" w:rsidP="00000000" w:rsidRDefault="00000000" w:rsidRPr="00000000" w14:paraId="000000A1">
      <w:pPr>
        <w:ind w:left="1133.8582677165355" w:right="4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Informar a solução mais vantajosa para a Administração, ou seja, a solução como um todo, devendo ser observadas as exigências relacionadas à manutenção e à assistência técnica, quando for o caso, (ID do e-compras).</w:t>
      </w:r>
    </w:p>
    <w:p w:rsidR="00000000" w:rsidDel="00000000" w:rsidP="00000000" w:rsidRDefault="00000000" w:rsidRPr="00000000" w14:paraId="000000A4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Utilizar terminologias consagradas e padronizadas com o setor da saúde. Se for o caso,  descrições explicativas, sinônimos e nomenclaturas similares, ou equipamentos análogos, o intuito é evitar ambiguidades e garantir a precisão técnica, visando facilitar a catalogação, bem como a tarefa da pesquisa de preços.</w:t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(Detalhamento da Execução do Serviço) – Descreva as características de como o serviço será executado, como por exemplo a maneira que o profissional precisará atuar, vestimenta padronizada, e / ou como o produto será utilizado pela unidade.</w:t>
      </w:r>
    </w:p>
    <w:p w:rsidR="00000000" w:rsidDel="00000000" w:rsidP="00000000" w:rsidRDefault="00000000" w:rsidRPr="00000000" w14:paraId="000000A6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Houveram fiscais designados para contratos anteriores? </w:t>
      </w:r>
    </w:p>
    <w:p w:rsidR="00000000" w:rsidDel="00000000" w:rsidP="00000000" w:rsidRDefault="00000000" w:rsidRPr="00000000" w14:paraId="000000A7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Exemplos:</w:t>
      </w:r>
    </w:p>
    <w:p w:rsidR="00000000" w:rsidDel="00000000" w:rsidP="00000000" w:rsidRDefault="00000000" w:rsidRPr="00000000" w14:paraId="000000A8">
      <w:pPr>
        <w:numPr>
          <w:ilvl w:val="3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Sim, houve o Contrato Nº XXX/XXXX (informe o número do contrato). Descreva a manifestação do (s) fiscal (ais) acerca do serviço prestado que podem auxiliar na elaboração.</w:t>
      </w:r>
    </w:p>
    <w:p w:rsidR="00000000" w:rsidDel="00000000" w:rsidP="00000000" w:rsidRDefault="00000000" w:rsidRPr="00000000" w14:paraId="000000A9">
      <w:pPr>
        <w:ind w:left="1133.8582677165355" w:right="4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xjjgudahwwc4" w:id="9"/>
      <w:bookmarkEnd w:id="9"/>
      <w:r w:rsidDel="00000000" w:rsidR="00000000" w:rsidRPr="00000000">
        <w:rPr>
          <w:rtl w:val="0"/>
        </w:rPr>
        <w:t xml:space="preserve">JUSTIFICATIVAS PARA O PARCELAMENTO OU NÃO DA CONTRATAÇÃO;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VIII DA LEI 14.133/2021). ESTE CAMPO É OBRIGATÓRIO O PREENCHIMENTO.</w:t>
      </w:r>
    </w:p>
    <w:p w:rsidR="00000000" w:rsidDel="00000000" w:rsidP="00000000" w:rsidRDefault="00000000" w:rsidRPr="00000000" w14:paraId="000000AB">
      <w:pPr>
        <w:ind w:left="1133.8582677165352" w:right="435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</w:p>
    <w:p w:rsidR="00000000" w:rsidDel="00000000" w:rsidP="00000000" w:rsidRDefault="00000000" w:rsidRPr="00000000" w14:paraId="000000AD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Identificar se o objeto a ser adquirido é composto por itens divisíveis ou não, de acordo com suas características técnicas e peculiaridades de comercialização no mercado, com vistas a buscar a ampliação da competição e evitar a concentração de mercado, considerando o Art. 40, § 2º, III da Lei 14.133/2021. Informar a divisão por itens e lotes, se for o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133.8582677165355" w:right="4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zhrtub9au3d" w:id="10"/>
      <w:bookmarkEnd w:id="10"/>
      <w:r w:rsidDel="00000000" w:rsidR="00000000" w:rsidRPr="00000000">
        <w:rPr>
          <w:rtl w:val="0"/>
        </w:rPr>
        <w:t xml:space="preserve">DEMONSTRATIVO DOS RESULTADOS PRETENDIDOS EM TERMOS DE ECONOMICIDADE E DE MELHOR APROVEITAMENTO DOS RECURSOS HUMANOS, MATERIAIS E FINANCEIROS DISPONÍVEIS;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IX DA LEI 14.133/2021). EM CASO DO NÃO PREENCHIMENTO DESTE CAMPO, DEVEM SER APRESENTADAS AS DEVIDAS JUSTIFICATIVAS.</w:t>
      </w:r>
    </w:p>
    <w:p w:rsidR="00000000" w:rsidDel="00000000" w:rsidP="00000000" w:rsidRDefault="00000000" w:rsidRPr="00000000" w14:paraId="000000B0">
      <w:pPr>
        <w:ind w:left="1133.8582677165355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</w:p>
    <w:p w:rsidR="00000000" w:rsidDel="00000000" w:rsidP="00000000" w:rsidRDefault="00000000" w:rsidRPr="00000000" w14:paraId="000000B2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Informar quais são os resultados e benefícios pretendidos com a contratação para a Administração.</w:t>
      </w:r>
    </w:p>
    <w:p w:rsidR="00000000" w:rsidDel="00000000" w:rsidP="00000000" w:rsidRDefault="00000000" w:rsidRPr="00000000" w14:paraId="000000B3">
      <w:pPr>
        <w:spacing w:after="0" w:line="240" w:lineRule="auto"/>
        <w:ind w:left="0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X -  </w:t>
      </w:r>
      <w:r w:rsidDel="00000000" w:rsidR="00000000" w:rsidRPr="00000000">
        <w:rPr>
          <w:sz w:val="16"/>
          <w:szCs w:val="16"/>
          <w:rtl w:val="0"/>
        </w:rPr>
        <w:t xml:space="preserve">Indicadores e Métricas</w:t>
      </w:r>
      <w:r w:rsidDel="00000000" w:rsidR="00000000" w:rsidRPr="00000000">
        <w:rPr>
          <w:rtl w:val="0"/>
        </w:rPr>
      </w:r>
    </w:p>
    <w:tbl>
      <w:tblPr>
        <w:tblStyle w:val="Table5"/>
        <w:tblW w:w="9165.0" w:type="dxa"/>
        <w:jc w:val="left"/>
        <w:tblInd w:w="1091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3060"/>
        <w:gridCol w:w="3240"/>
        <w:tblGridChange w:id="0">
          <w:tblGrid>
            <w:gridCol w:w="2865"/>
            <w:gridCol w:w="3060"/>
            <w:gridCol w:w="3240"/>
          </w:tblGrid>
        </w:tblGridChange>
      </w:tblGrid>
      <w:tr>
        <w:trPr>
          <w:cantSplit w:val="0"/>
          <w:tblHeader w:val="1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Indicadores e Métricas para Medir os Resultados Alcançados</w:t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Indicador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ind w:left="0" w:right="-51.2598425196836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.2598425196836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line="36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Fonte: ()</w:t>
      </w:r>
    </w:p>
    <w:p w:rsidR="00000000" w:rsidDel="00000000" w:rsidP="00000000" w:rsidRDefault="00000000" w:rsidRPr="00000000" w14:paraId="000000C4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y55v70ra9kos" w:id="11"/>
      <w:bookmarkEnd w:id="11"/>
      <w:r w:rsidDel="00000000" w:rsidR="00000000" w:rsidRPr="00000000">
        <w:rPr>
          <w:rtl w:val="0"/>
        </w:rPr>
        <w:t xml:space="preserve">PROVIDÊNCIAS A SEREM ADOTADAS PELA ADMINISTRAÇÃO PREVIAMENTE À CELEBRAÇÃO DO CONTRATO, INCLUSIVE QUANTO À CAPACITAÇÃO DE SERVIDORES OU DE EMPREGADOS PARA FISCALIZAÇÃO E GESTÃO CONTRATUAL;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X DA LEI 14.133/2021). EM CASO DO NÃO PREENCHIMENTO DESTE CAMPO, DEVEM SER APRESENTADAS AS DEVIDAS JUSTIFICATIVAS.</w:t>
      </w:r>
    </w:p>
    <w:p w:rsidR="00000000" w:rsidDel="00000000" w:rsidP="00000000" w:rsidRDefault="00000000" w:rsidRPr="00000000" w14:paraId="000000C5">
      <w:pPr>
        <w:spacing w:after="0" w:line="360" w:lineRule="auto"/>
        <w:ind w:left="1133.8582677165355" w:right="4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</w:p>
    <w:p w:rsidR="00000000" w:rsidDel="00000000" w:rsidP="00000000" w:rsidRDefault="00000000" w:rsidRPr="00000000" w14:paraId="000000C7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Verificar e informar as providências que deverão ser executadas pela Administração antes da formalização da futura contratação, com vistas à correta execução contratual, inclusive quanto à capacitação de servidores ou de empregados para fiscalização e gestão contratual.</w:t>
      </w:r>
    </w:p>
    <w:p w:rsidR="00000000" w:rsidDel="00000000" w:rsidP="00000000" w:rsidRDefault="00000000" w:rsidRPr="00000000" w14:paraId="000000C8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A seguir alguns exemplos de providências: Será necessária capacitação? Se for aquisição de equipamento informar medidas, se há necessidade de mobiliário para sua utilização, se necessário alguma instalação elétrica ou adaptação?</w:t>
      </w:r>
    </w:p>
    <w:p w:rsidR="00000000" w:rsidDel="00000000" w:rsidP="00000000" w:rsidRDefault="00000000" w:rsidRPr="00000000" w14:paraId="000000C9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Será necessária vistoria prévia no local de execução (art. 63, § 2º, da Lei nº 14.133/2021);</w:t>
      </w:r>
    </w:p>
    <w:p w:rsidR="00000000" w:rsidDel="00000000" w:rsidP="00000000" w:rsidRDefault="00000000" w:rsidRPr="00000000" w14:paraId="000000CA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Sim - Descreva informações sobre local, previsão de data e hora</w:t>
      </w:r>
    </w:p>
    <w:p w:rsidR="00000000" w:rsidDel="00000000" w:rsidP="00000000" w:rsidRDefault="00000000" w:rsidRPr="00000000" w14:paraId="000000CB">
      <w:pPr>
        <w:spacing w:line="360" w:lineRule="auto"/>
        <w:ind w:left="1133.8582677165355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idomje7mvq0f" w:id="12"/>
      <w:bookmarkEnd w:id="12"/>
      <w:r w:rsidDel="00000000" w:rsidR="00000000" w:rsidRPr="00000000">
        <w:rPr>
          <w:rtl w:val="0"/>
        </w:rPr>
        <w:t xml:space="preserve">CONTRATAÇÕES CORRELATAS E/OU INTERDEPENDENTES;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XI DA LEI 14.133/2021). EM CASO DO NÃO PREENCHIMENTO DESTE CAMPO, DEVEM SER APRESENTADAS AS DEVIDAS JUSTIFICATIVAS.</w:t>
      </w:r>
    </w:p>
    <w:p w:rsidR="00000000" w:rsidDel="00000000" w:rsidP="00000000" w:rsidRDefault="00000000" w:rsidRPr="00000000" w14:paraId="000000CD">
      <w:pPr>
        <w:spacing w:after="0" w:line="360" w:lineRule="auto"/>
        <w:ind w:left="1133.8582677165355" w:right="4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</w:p>
    <w:p w:rsidR="00000000" w:rsidDel="00000000" w:rsidP="00000000" w:rsidRDefault="00000000" w:rsidRPr="00000000" w14:paraId="000000CF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Informar se já existem contratações já realizadas ou contratações futuras que possuam relação e/ou afinidade com o objeto da compra/contratação pretendida. Conforme o art. 3° da IN SEGES 58/2022, são definidas como contratações correlatas: aquelas cujos objetos sejam similares ou correspondentes entre si; e contratações interdependentes: aquelas que, por guardarem relação direta na execução do objeto, devem ser contratadas juntamente para a plena satisfação da necessidade da Administração.</w:t>
      </w:r>
    </w:p>
    <w:p w:rsidR="00000000" w:rsidDel="00000000" w:rsidP="00000000" w:rsidRDefault="00000000" w:rsidRPr="00000000" w14:paraId="000000D0">
      <w:pPr>
        <w:spacing w:after="0" w:line="360" w:lineRule="auto"/>
        <w:ind w:left="1133.8582677165355" w:right="435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ckp8z4lkzlwu" w:id="13"/>
      <w:bookmarkEnd w:id="13"/>
      <w:r w:rsidDel="00000000" w:rsidR="00000000" w:rsidRPr="00000000">
        <w:rPr>
          <w:rtl w:val="0"/>
        </w:rPr>
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</w:r>
      <w:r w:rsidDel="00000000" w:rsidR="00000000" w:rsidRPr="00000000">
        <w:rPr>
          <w:b w:val="0"/>
          <w:sz w:val="16"/>
          <w:szCs w:val="16"/>
          <w:rtl w:val="0"/>
        </w:rPr>
        <w:t xml:space="preserve">(CONFORME ART. 18, § 1º, XII DA LEI 14.133/2021). EM CASO DO NÃO PREENCHIMENTO DESTE CAMPO, DEVEM SER APRESENTADAS AS DEVIDAS JUSTIFICATIVAS.</w:t>
      </w:r>
    </w:p>
    <w:p w:rsidR="00000000" w:rsidDel="00000000" w:rsidP="00000000" w:rsidRDefault="00000000" w:rsidRPr="00000000" w14:paraId="000000D2">
      <w:pPr>
        <w:ind w:left="720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Observar as orientações do Guia para Elaboração do Estudo Técnico Preliminar.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</w:t>
      </w:r>
      <w:r w:rsidDel="00000000" w:rsidR="00000000" w:rsidRPr="00000000">
        <w:rPr>
          <w:rtl w:val="0"/>
        </w:rPr>
        <w:t xml:space="preserve">: Informar e identificar se a aquisição pretendida possui possíveis impactos ambientais, bem como as respectivas medidas que resultam na redução e mitigação dos riscos e efeitos de tais impactos.</w:t>
      </w:r>
    </w:p>
    <w:p w:rsidR="00000000" w:rsidDel="00000000" w:rsidP="00000000" w:rsidRDefault="00000000" w:rsidRPr="00000000" w14:paraId="000000D5">
      <w:pPr>
        <w:spacing w:after="0" w:line="240" w:lineRule="auto"/>
        <w:ind w:left="1133.8582677165355" w:right="435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Tabela X: Medidas Mitigadoras Consolidadas.</w:t>
      </w:r>
    </w:p>
    <w:tbl>
      <w:tblPr>
        <w:tblStyle w:val="Table6"/>
        <w:tblW w:w="9060.0" w:type="dxa"/>
        <w:jc w:val="left"/>
        <w:tblInd w:w="1133.85826771653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220"/>
        <w:gridCol w:w="2325"/>
        <w:gridCol w:w="2430"/>
        <w:tblGridChange w:id="0">
          <w:tblGrid>
            <w:gridCol w:w="2085"/>
            <w:gridCol w:w="2220"/>
            <w:gridCol w:w="2325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Impacto Ambiental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Medida Mitigadora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Norma Aplicável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ind w:left="1133.8582677165355" w:right="430.275590551182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Fontes: ()</w:t>
      </w:r>
    </w:p>
    <w:p w:rsidR="00000000" w:rsidDel="00000000" w:rsidP="00000000" w:rsidRDefault="00000000" w:rsidRPr="00000000" w14:paraId="000000EF">
      <w:pPr>
        <w:pStyle w:val="Heading1"/>
        <w:numPr>
          <w:ilvl w:val="0"/>
          <w:numId w:val="2"/>
        </w:numPr>
        <w:ind w:left="1133.8582677165355" w:right="435" w:firstLine="0"/>
        <w:rPr/>
      </w:pPr>
      <w:bookmarkStart w:colFirst="0" w:colLast="0" w:name="_yi017745sdna" w:id="14"/>
      <w:bookmarkEnd w:id="14"/>
      <w:r w:rsidDel="00000000" w:rsidR="00000000" w:rsidRPr="00000000">
        <w:rPr>
          <w:rtl w:val="0"/>
        </w:rPr>
        <w:t xml:space="preserve">POSICIONAMENTO CONCLUSIVO SOBRE A ADEQUAÇÃO DA CONTRATAÇÃO PARA O ATENDIMENTO DA NECESSIDADE A QUE SE DESTINA.</w:t>
      </w:r>
      <w:r w:rsidDel="00000000" w:rsidR="00000000" w:rsidRPr="00000000">
        <w:rPr>
          <w:b w:val="0"/>
          <w:sz w:val="16"/>
          <w:szCs w:val="16"/>
          <w:rtl w:val="0"/>
        </w:rPr>
        <w:t xml:space="preserve"> (CONFORME ART. 18, § 1º, XIII DA LEI 14.133/2021). ESTE CAMPO É OBRIGATÓRIO O PREENCHIMENTO.</w:t>
      </w:r>
    </w:p>
    <w:p w:rsidR="00000000" w:rsidDel="00000000" w:rsidP="00000000" w:rsidRDefault="00000000" w:rsidRPr="00000000" w14:paraId="000000F0">
      <w:pPr>
        <w:ind w:left="1133.8582677165355" w:right="43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bservar as orientações do Guia para Elaboração do Estudo Técnico Preliminar.</w:t>
      </w:r>
    </w:p>
    <w:p w:rsidR="00000000" w:rsidDel="00000000" w:rsidP="00000000" w:rsidRDefault="00000000" w:rsidRPr="00000000" w14:paraId="000000F2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Orientações para o preenchimento:</w:t>
      </w:r>
      <w:r w:rsidDel="00000000" w:rsidR="00000000" w:rsidRPr="00000000">
        <w:rPr>
          <w:rtl w:val="0"/>
        </w:rPr>
        <w:t xml:space="preserve"> Parecer final do que foi pretendido, informando a adequação à necessidade da demanda pretendida. Informe a viabilidade do objeto do Estudo Técnico Preliminar. Caso seja inviável, é obrigatório informar a justificativa da inviabilidade.</w:t>
      </w:r>
    </w:p>
    <w:p w:rsidR="00000000" w:rsidDel="00000000" w:rsidP="00000000" w:rsidRDefault="00000000" w:rsidRPr="00000000" w14:paraId="000000F3">
      <w:pPr>
        <w:numPr>
          <w:ilvl w:val="1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Exemplo de texto: </w:t>
      </w:r>
    </w:p>
    <w:p w:rsidR="00000000" w:rsidDel="00000000" w:rsidP="00000000" w:rsidRDefault="00000000" w:rsidRPr="00000000" w14:paraId="000000F4">
      <w:pPr>
        <w:numPr>
          <w:ilvl w:val="2"/>
          <w:numId w:val="2"/>
        </w:numPr>
        <w:ind w:left="1140" w:right="435" w:firstLine="0"/>
        <w:rPr/>
      </w:pPr>
      <w:r w:rsidDel="00000000" w:rsidR="00000000" w:rsidRPr="00000000">
        <w:rPr>
          <w:rtl w:val="0"/>
        </w:rPr>
        <w:t xml:space="preserve">“Esta equipe de planejamento/equipe de </w:t>
      </w:r>
      <w:r w:rsidDel="00000000" w:rsidR="00000000" w:rsidRPr="00000000">
        <w:rPr>
          <w:b w:val="1"/>
          <w:rtl w:val="0"/>
        </w:rPr>
        <w:t xml:space="preserve">contratação declara viável a presente contratação</w:t>
      </w:r>
      <w:r w:rsidDel="00000000" w:rsidR="00000000" w:rsidRPr="00000000">
        <w:rPr>
          <w:rtl w:val="0"/>
        </w:rPr>
        <w:t xml:space="preserve"> com base nesse Estudo Técnico Preliminar consoante o artigo 55 do Decreto Estadual n.º 47.133/2023.”</w:t>
      </w:r>
    </w:p>
    <w:p w:rsidR="00000000" w:rsidDel="00000000" w:rsidP="00000000" w:rsidRDefault="00000000" w:rsidRPr="00000000" w14:paraId="000000F5">
      <w:pPr>
        <w:ind w:left="1140" w:right="430.2755905511822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360" w:lineRule="auto"/>
        <w:ind w:left="1133.8582677165355" w:right="430.2755905511822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ANUÊNCIA DOS REQUISITANTES:</w:t>
      </w:r>
      <w:r w:rsidDel="00000000" w:rsidR="00000000" w:rsidRPr="00000000">
        <w:rPr>
          <w:rtl w:val="0"/>
        </w:rPr>
      </w:r>
    </w:p>
    <w:tbl>
      <w:tblPr>
        <w:tblStyle w:val="Table7"/>
        <w:tblW w:w="9060.0" w:type="dxa"/>
        <w:jc w:val="left"/>
        <w:tblInd w:w="1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4380"/>
        <w:tblGridChange w:id="0">
          <w:tblGrid>
            <w:gridCol w:w="4680"/>
            <w:gridCol w:w="438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425.19685039370086" w:right="278.7401574803164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SOLICITAÇÃO E APROVAÇÃO DO TERMO DE REFERÊNCIA :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 PELA ELABORAÇÃO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 PELA ELABORAÇÃO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WALMIR BRAGA SALGADO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Coordenador Geral –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INFRASAÚDE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/SES-AM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EMERSON PINHEIRO DINIZ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Coordenador de Engenharia Clínica e Hospitalar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SEAINFRA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/SES-AM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 PELA EQUIPE DE ELABORAÇÃO 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ANUÊNCIA DO GESTOR RESPONSÁVEL PELA EQUIPE:</w:t>
            </w:r>
          </w:p>
        </w:tc>
      </w:tr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ULISSES BEZERRA DA SILVA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Secretário Executivo Adjunto de Gestão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Administrativa – SEAGA/SES-AM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141.7322834645671" w:right="83.03149606299371" w:hanging="6.73228346456710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0" w:right="3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HELENO DE LION COSTA DA ROCHA QUINTO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Secretário Executivo Adjunto de Gestão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Administrativa – SEAGA/SES-AM</w:t>
            </w:r>
          </w:p>
        </w:tc>
      </w:tr>
    </w:tbl>
    <w:p w:rsidR="00000000" w:rsidDel="00000000" w:rsidP="00000000" w:rsidRDefault="00000000" w:rsidRPr="00000000" w14:paraId="00000111">
      <w:pPr>
        <w:ind w:right="278.7401574803164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ind w:left="285" w:hanging="36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1133.8582677165355" w:right="288.5433070866151" w:firstLine="0"/>
        <w:jc w:val="left"/>
        <w:rPr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60" w:lineRule="auto"/>
        <w:ind w:left="1133.8582677165355" w:right="430.275590551182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115">
      <w:pPr>
        <w:spacing w:after="160" w:lineRule="auto"/>
        <w:ind w:left="1133.8582677165355" w:right="430.2755905511822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ANÁLISE DE RISCO </w:t>
      </w:r>
    </w:p>
    <w:p w:rsidR="00000000" w:rsidDel="00000000" w:rsidP="00000000" w:rsidRDefault="00000000" w:rsidRPr="00000000" w14:paraId="00000116">
      <w:pPr>
        <w:spacing w:after="160" w:lineRule="auto"/>
        <w:ind w:left="1133.8582677165355" w:right="430.2755905511822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nº 01.01.017101.XXXXXX/202X-XX</w:t>
      </w:r>
    </w:p>
    <w:p w:rsidR="00000000" w:rsidDel="00000000" w:rsidP="00000000" w:rsidRDefault="00000000" w:rsidRPr="00000000" w14:paraId="00000117">
      <w:pPr>
        <w:spacing w:after="160" w:lineRule="auto"/>
        <w:ind w:left="1133.8582677165355" w:right="430.2755905511822" w:firstLine="0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Objeto a ser contratado: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Registro de preços para contratação de empresa especializada na prestação de serviços em manutenção corretiva e preventiva com fornecimento de peças, mão de obra, insumos e acessórios necessários para a execução da manutenção da rede de gases medicinais, ar medicinal e vácuo clínico, para atender as necessidades das unidades de saúde vinculadas à Secretaria de Estado de Saúde (SES), localizadas no município de Manaus - AM.</w:t>
      </w:r>
      <w:r w:rsidDel="00000000" w:rsidR="00000000" w:rsidRPr="00000000">
        <w:rPr>
          <w:rtl w:val="0"/>
        </w:rPr>
      </w:r>
    </w:p>
    <w:tbl>
      <w:tblPr>
        <w:tblStyle w:val="Table8"/>
        <w:tblW w:w="9060.0" w:type="dxa"/>
        <w:jc w:val="left"/>
        <w:tblInd w:w="1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665"/>
        <w:gridCol w:w="2250"/>
        <w:gridCol w:w="3225"/>
        <w:tblGridChange w:id="0">
          <w:tblGrid>
            <w:gridCol w:w="1920"/>
            <w:gridCol w:w="1665"/>
            <w:gridCol w:w="2250"/>
            <w:gridCol w:w="32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- FASE DE PLANEJAMENTO.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1.1.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Deficiência na Definição das Especificações Técnicas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Moderada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Especificações inadequadas podem resultar em contratação de serviços ineficazes, comprometendo a segurança hospitalar.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Formação de equipe multidisciplinar para revisão detalhada do Termo de Referência (TR) e do Estudo Técnico Preliminar (ETP).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da Contratação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Ajuste e retificação do edital com base em parecer técnico especializado.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da Contratação</w:t>
            </w:r>
          </w:p>
        </w:tc>
      </w:tr>
    </w:tbl>
    <w:p w:rsidR="00000000" w:rsidDel="00000000" w:rsidP="00000000" w:rsidRDefault="00000000" w:rsidRPr="00000000" w14:paraId="00000138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90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965"/>
        <w:gridCol w:w="2250"/>
        <w:gridCol w:w="3210"/>
        <w:tblGridChange w:id="0">
          <w:tblGrid>
            <w:gridCol w:w="1665"/>
            <w:gridCol w:w="1965"/>
            <w:gridCol w:w="2250"/>
            <w:gridCol w:w="32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1.2.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Superdimensionamento ou Subdimensionamento da Demanda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Moderada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subdimensionamento pode resultar na falta de cobertura adequada; o superdimensionamento gera custos desnecessários.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Análise detalhada da demanda hospitalar e uso de estudos técnicos para definir o volume correto dos serviços.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da Contratação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Revisão técnica e nova consulta ao mercado para adequação.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da Contratação</w:t>
            </w:r>
          </w:p>
        </w:tc>
      </w:tr>
    </w:tbl>
    <w:p w:rsidR="00000000" w:rsidDel="00000000" w:rsidP="00000000" w:rsidRDefault="00000000" w:rsidRPr="00000000" w14:paraId="00000155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5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75"/>
        <w:gridCol w:w="2250"/>
        <w:gridCol w:w="3195"/>
        <w:tblGridChange w:id="0">
          <w:tblGrid>
            <w:gridCol w:w="1755"/>
            <w:gridCol w:w="1875"/>
            <w:gridCol w:w="2250"/>
            <w:gridCol w:w="31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1.3.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Falha na Pesquisa de Preços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Baixa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Preços incorretos podem levar a contratações superfaturadas ou inexequíveis.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Uso de múltiplas fontes (Painel de Preços do Governo Federal, cotação com fornecedores, contratos similares).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da Contratação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Reavaliação da pesquisa e, se necessário, reabertura do processo licitatório.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da Contratação</w:t>
            </w:r>
          </w:p>
        </w:tc>
      </w:tr>
    </w:tbl>
    <w:p w:rsidR="00000000" w:rsidDel="00000000" w:rsidP="00000000" w:rsidRDefault="00000000" w:rsidRPr="00000000" w14:paraId="00000172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5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1560"/>
        <w:gridCol w:w="2250"/>
        <w:gridCol w:w="3195"/>
        <w:tblGridChange w:id="0">
          <w:tblGrid>
            <w:gridCol w:w="2070"/>
            <w:gridCol w:w="1560"/>
            <w:gridCol w:w="2250"/>
            <w:gridCol w:w="31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- FASE EXTERNA DA CONTRATAÇÃO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2.1.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Falhas na Publicação do Edital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Moderada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Erros ou inconsistências no edital podem levar a impugnações ou à necessidade de republicação, atrasando o processo.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Revisão detalhada do edital pela assessoria jurídica antes da publicação. Verificação de conformidade com a Lei nº 14.133/2021, especialmente quanto à publicidade e clareza.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Setor Jurídico e Comissão de Licitação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Correção e republicação do edital em prazos mínimos, conforme a legislação vigente.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Setor Jurídico e Comissão de Licitação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5.0" w:type="dxa"/>
        <w:jc w:val="left"/>
        <w:tblInd w:w="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785"/>
        <w:gridCol w:w="2250"/>
        <w:gridCol w:w="3210"/>
        <w:tblGridChange w:id="0">
          <w:tblGrid>
            <w:gridCol w:w="1830"/>
            <w:gridCol w:w="1785"/>
            <w:gridCol w:w="2250"/>
            <w:gridCol w:w="32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2.2.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Falta de Propostas Compatíveis com as Especificações Técnicas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Baixa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Licitação deserta ou ineficaz, resultando em atraso na contratação e necessidade de ajuste nas especificações.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Consulta prévia ao mercado para assegurar que as especificações estão alinhadas com as capacidades dos fornecedores. Divulgação ampla do edital em portais especializados e associações do setor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Comissão de Licitação e Equipe Técnica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Reavaliação das especificações técnicas e reabertura do processo licitatório com ajustes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Comissão de Licitação e Equipe Técnica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90.0" w:type="dxa"/>
        <w:jc w:val="left"/>
        <w:tblInd w:w="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830"/>
        <w:gridCol w:w="2250"/>
        <w:gridCol w:w="3240"/>
        <w:tblGridChange w:id="0">
          <w:tblGrid>
            <w:gridCol w:w="1770"/>
            <w:gridCol w:w="1830"/>
            <w:gridCol w:w="2250"/>
            <w:gridCol w:w="324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2.3.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Propostas com Valores Superestimados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Elevação do custo total da contratação acima do orçamento disponível, dificultando a execução financeira.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Pesquisa de preços detalhada em bases de dados como o ORSE e portais de compras públicas. Definição de um teto orçamentário claro no edital.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e Comissão de Licitação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Negociação direta com fornecedores dentro do previsto na legislação. Reabertura da licitação com ajustes nos critérios de julgamento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de Planejamento e Comissão de Licitação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5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935"/>
        <w:gridCol w:w="2250"/>
        <w:gridCol w:w="3195"/>
        <w:tblGridChange w:id="0">
          <w:tblGrid>
            <w:gridCol w:w="1695"/>
            <w:gridCol w:w="1935"/>
            <w:gridCol w:w="2250"/>
            <w:gridCol w:w="31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2.4.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Desclassificação de Propostas por Falta de Documentação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Moderada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Redução da competitividade do certame, aumentando o risco de contratação por valores acima do esperado.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Orientação clara no edital sobre as exigências documentais. Disponibilização de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canal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para esclarecimento de dúvidas pelos licitantes.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Comissão de Licitação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Concessão de prazo suplementar para regularização documental, se permitido. Planejamento de nova rodada de licitação.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Comissão de Licitação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5.0" w:type="dxa"/>
        <w:jc w:val="left"/>
        <w:tblInd w:w="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740"/>
        <w:gridCol w:w="2250"/>
        <w:gridCol w:w="3210"/>
        <w:tblGridChange w:id="0">
          <w:tblGrid>
            <w:gridCol w:w="1875"/>
            <w:gridCol w:w="1740"/>
            <w:gridCol w:w="2250"/>
            <w:gridCol w:w="32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- FASE CONTRATUAL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3.1.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Atraso na Execução do Contrato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Moderada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atraso na manutenção pode comprometer o funcionamento das unidades de saúde.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Estabelecimento de cronograma detalhado no contrato com cláusulas de penalidade para atrasos. Monitoramento contínuo da produção e transporte pelos fiscais do contrato.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Fiscal do Contrato e Fornecedor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Aplicar multas e contratar emergencialmente outra empresa, se necessário.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Fiscal do Contrato e Fornecedor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05.0" w:type="dxa"/>
        <w:jc w:val="left"/>
        <w:tblInd w:w="1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785"/>
        <w:gridCol w:w="2250"/>
        <w:gridCol w:w="3225"/>
        <w:tblGridChange w:id="0">
          <w:tblGrid>
            <w:gridCol w:w="1845"/>
            <w:gridCol w:w="1785"/>
            <w:gridCol w:w="2250"/>
            <w:gridCol w:w="32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3.2.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Falhas na Execução dos Serviços</w:t>
            </w:r>
          </w:p>
        </w:tc>
      </w:tr>
      <w:tr>
        <w:trPr>
          <w:cantSplit w:val="0"/>
          <w:trHeight w:val="604.98046875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Baixa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Qualidade inadequada pode comprometer a segurança hospitalar.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Monitoramento e fiscalização contínua.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Fiscal do Contrato e Equipe Técnica do Setor de Infraestrutura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Exigir correções imediatas ou rescisão contratual, se necessário.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Fiscal do Contrato e Equipe Técnica do Setor de Infraestrutura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spacing w:after="160" w:lineRule="auto"/>
        <w:ind w:left="-708.661417322834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60.0" w:type="dxa"/>
        <w:jc w:val="left"/>
        <w:tblInd w:w="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60"/>
        <w:gridCol w:w="2250"/>
        <w:gridCol w:w="3195"/>
        <w:tblGridChange w:id="0">
          <w:tblGrid>
            <w:gridCol w:w="1755"/>
            <w:gridCol w:w="1860"/>
            <w:gridCol w:w="2250"/>
            <w:gridCol w:w="31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Riscos 3.3.</w:t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Interrupção dos Serviços Contratados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Baixa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Falhas operacionais podem impactar diretamente os serviços essenciais do hospital.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Preventiva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Exigência de garantias contratuais e avaliação prévia da capacidade da empresa.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Setor de Infraestrutura e Operadores Locais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 de Contingência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Acionamento de penalidades e contratação emergencial de substituição.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Setor de Infraestrutura e Operadores Locais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spacing w:after="160" w:lineRule="auto"/>
        <w:ind w:left="566.9291338582675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160" w:lineRule="auto"/>
        <w:ind w:left="1133.8582677165355" w:right="430.2755905511822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Qualitativa dos Riscos.</w:t>
      </w:r>
    </w:p>
    <w:p w:rsidR="00000000" w:rsidDel="00000000" w:rsidP="00000000" w:rsidRDefault="00000000" w:rsidRPr="00000000" w14:paraId="0000024A">
      <w:pPr>
        <w:spacing w:after="160" w:lineRule="auto"/>
        <w:ind w:left="1133.8582677165355" w:right="430.275590551182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seguir encontra-se a matriz de avaliação qualitativa dos riscos identificados na contratação</w:t>
      </w:r>
    </w:p>
    <w:tbl>
      <w:tblPr>
        <w:tblStyle w:val="Table18"/>
        <w:tblW w:w="9075.0" w:type="dxa"/>
        <w:jc w:val="left"/>
        <w:tblInd w:w="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1755"/>
        <w:gridCol w:w="1845"/>
        <w:gridCol w:w="1755"/>
        <w:tblGridChange w:id="0">
          <w:tblGrid>
            <w:gridCol w:w="3720"/>
            <w:gridCol w:w="1755"/>
            <w:gridCol w:w="1845"/>
            <w:gridCol w:w="1755"/>
          </w:tblGrid>
        </w:tblGridChange>
      </w:tblGrid>
      <w:tr>
        <w:trPr>
          <w:cantSplit w:val="0"/>
          <w:trHeight w:val="566.9291338582677" w:hRule="atLeast"/>
          <w:tblHeader w:val="1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PROBABILIDADE DE RISCOS</w:t>
            </w:r>
          </w:p>
        </w:tc>
      </w:tr>
      <w:tr>
        <w:trPr>
          <w:cantSplit w:val="0"/>
          <w:trHeight w:val="566.9291338582677" w:hRule="atLeast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BAIXA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MODERADA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Deficiência na Definição das Especificações Técnicas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1.1.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Superdimensionamento ou Subdimensionamento da Demanda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1.2.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Falha na Pesquisa de Preços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Falhas na Publicação do Edital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2.1.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Falta de Propostas Compatíveis com as Especificações Técnicas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2.2.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Propostas com Valores Superestimados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2.3.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Desclassificação de Propostas por Falta de Documentação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2.4.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Atraso na Execução do Contrato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3.1.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Falhas na Execução dos Serviços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Interrupção dos Serviços Contratados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Riscos 3.3.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spacing w:after="160" w:lineRule="auto"/>
        <w:ind w:left="1133.8582677165355" w:right="430.275590551182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160" w:lineRule="auto"/>
        <w:ind w:left="1133.8582677165355" w:right="430.2755905511822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Gravidade das consequências</w:t>
      </w:r>
    </w:p>
    <w:p w:rsidR="00000000" w:rsidDel="00000000" w:rsidP="00000000" w:rsidRDefault="00000000" w:rsidRPr="00000000" w14:paraId="0000027D">
      <w:pPr>
        <w:spacing w:after="160" w:lineRule="auto"/>
        <w:ind w:left="1133.8582677165355" w:right="430.2755905511822" w:firstLine="0"/>
        <w:rPr>
          <w:b w:val="1"/>
          <w:color w:val="ff0000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A contratação da manutenção da rede de gases medicinais apresenta riscos elevados devido ao impacto direto na segurança e continuidade dos serviços hospitalares. Problemas como atrasos na execução, falhas na prestação do serviço e inadequações na especificação técnica podem comprometer o funcionamento adequado das unidades de saúde. Além disso, a descontinuidade na manutenção pode colocar em risco pacientes em estado crítico, uma vez que os gases medicinais são essenciais para suporte à vida. Medidas preventivas rigorosas foram estabelecidas para mitigar esses riscos, incluindo fiscalização contínua, aplicação de penalidades contratuais e planejamento para respostas emergenciais. Dessa forma, busca-se garantir a execução eficiente do contrato e a segurança da assistência hospitalar prestada à população.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360" w:lineRule="auto"/>
        <w:ind w:left="1559.0551181102362" w:right="286.87664041994856" w:hanging="360"/>
        <w:jc w:val="center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Orientações Adicionais</w:t>
      </w:r>
      <w:r w:rsidDel="00000000" w:rsidR="00000000" w:rsidRPr="00000000">
        <w:rPr>
          <w:b w:val="1"/>
          <w:color w:val="ff0000"/>
          <w:rtl w:val="0"/>
        </w:rPr>
        <w:t xml:space="preserve"> (Excluir na versão final):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7F">
      <w:pPr>
        <w:spacing w:line="360" w:lineRule="auto"/>
        <w:ind w:left="1559.0551181102362" w:right="286.87664041994856" w:hanging="36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360" w:lineRule="auto"/>
        <w:ind w:left="1559.0551181102362" w:right="286.87664041994856" w:hanging="360"/>
        <w:jc w:val="center"/>
        <w:rPr>
          <w:b w:val="1"/>
          <w:color w:val="ffffff"/>
        </w:rPr>
      </w:pPr>
      <w:r w:rsidDel="00000000" w:rsidR="00000000" w:rsidRPr="00000000">
        <w:rPr>
          <w:b w:val="1"/>
          <w:rtl w:val="0"/>
        </w:rPr>
        <w:t xml:space="preserve">INFORMAÇÕES ADICIONAIS PARA O LEVANTAMENTO DE MERCADO, ITEM V, DE ACORDO COM O ART. 55 DO DECRETO ESTADUAL N.º 47.133/2023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360" w:lineRule="auto"/>
        <w:ind w:left="1559.0551181102362" w:right="286.87664041994856" w:hanging="360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360" w:lineRule="auto"/>
        <w:ind w:left="1133.8582677165355" w:right="430.2755905511822" w:firstLine="0"/>
        <w:rPr/>
      </w:pPr>
      <w:r w:rsidDel="00000000" w:rsidR="00000000" w:rsidRPr="00000000">
        <w:rPr>
          <w:rtl w:val="0"/>
        </w:rPr>
        <w:t xml:space="preserve">§ 1.º Durante a elaboração do estudo técnico preliminar, o órgão executor avaliará:</w:t>
      </w:r>
    </w:p>
    <w:p w:rsidR="00000000" w:rsidDel="00000000" w:rsidP="00000000" w:rsidRDefault="00000000" w:rsidRPr="00000000" w14:paraId="00000283">
      <w:pPr>
        <w:spacing w:line="360" w:lineRule="auto"/>
        <w:ind w:left="1133.8582677165355" w:right="430.2755905511822" w:firstLine="0"/>
        <w:rPr/>
      </w:pPr>
      <w:r w:rsidDel="00000000" w:rsidR="00000000" w:rsidRPr="00000000">
        <w:rPr>
          <w:rtl w:val="0"/>
        </w:rPr>
        <w:t xml:space="preserve">I - Nos casos de possibilidade de compra ou locação de bens, os custos e os benefícios de cada opção, para escolha da alternativa mais vantajosa;</w:t>
      </w:r>
    </w:p>
    <w:p w:rsidR="00000000" w:rsidDel="00000000" w:rsidP="00000000" w:rsidRDefault="00000000" w:rsidRPr="00000000" w14:paraId="00000284">
      <w:pPr>
        <w:spacing w:line="360" w:lineRule="auto"/>
        <w:ind w:left="1133.8582677165355" w:right="430.2755905511822" w:firstLine="0"/>
        <w:rPr/>
      </w:pPr>
      <w:r w:rsidDel="00000000" w:rsidR="00000000" w:rsidRPr="00000000">
        <w:rPr>
          <w:rtl w:val="0"/>
        </w:rPr>
        <w:t xml:space="preserve">Exemplo: </w:t>
      </w:r>
    </w:p>
    <w:p w:rsidR="00000000" w:rsidDel="00000000" w:rsidP="00000000" w:rsidRDefault="00000000" w:rsidRPr="00000000" w14:paraId="00000285">
      <w:pPr>
        <w:spacing w:line="360" w:lineRule="auto"/>
        <w:ind w:left="1133.8582677165355" w:right="430.2755905511822" w:firstLine="0"/>
        <w:rPr/>
      </w:pPr>
      <w:r w:rsidDel="00000000" w:rsidR="00000000" w:rsidRPr="00000000">
        <w:rPr>
          <w:rtl w:val="0"/>
        </w:rPr>
        <w:t xml:space="preserve">“Determinada unidade necessita de um veículo para transporte de pacientes pelo período de 2024 a 2027: Foram encontradas 02 (duas) soluções para atender a demanda, COMPRA e LOCAÇÃO. Nesse caso, é necessário realizar uma programática de custos de modo preditivo para melhor gestão e tomada de decisão, entre as opções disponíveis em mercado”:</w:t>
      </w:r>
    </w:p>
    <w:p w:rsidR="00000000" w:rsidDel="00000000" w:rsidP="00000000" w:rsidRDefault="00000000" w:rsidRPr="00000000" w14:paraId="00000286">
      <w:pPr>
        <w:spacing w:line="276" w:lineRule="auto"/>
        <w:ind w:left="285" w:hanging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105.0" w:type="dxa"/>
        <w:jc w:val="left"/>
        <w:tblInd w:w="1113.666666666666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050"/>
        <w:gridCol w:w="1035"/>
        <w:gridCol w:w="1155"/>
        <w:gridCol w:w="1005"/>
        <w:gridCol w:w="900"/>
        <w:tblGridChange w:id="0">
          <w:tblGrid>
            <w:gridCol w:w="3960"/>
            <w:gridCol w:w="1050"/>
            <w:gridCol w:w="1035"/>
            <w:gridCol w:w="1155"/>
            <w:gridCol w:w="1005"/>
            <w:gridCol w:w="9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line="276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line="276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Previsão de desembolso (Compra, no exemplo foi previsto pagamento único.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100.000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2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150.000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line="276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Previsão de despesas (manutenção, impostos e seguro.)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15.000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20.000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line="276" w:lineRule="auto"/>
              <w:ind w:left="285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line="276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Locação </w:t>
              <w:br w:type="textWrapping"/>
              <w:t xml:space="preserve">(Despesa anual com o pagamento à locadora)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30.000 </w:t>
              <w:br w:type="textWrapping"/>
              <w:t xml:space="preserve">(ao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30.000 </w:t>
              <w:br w:type="textWrapping"/>
              <w:t xml:space="preserve">(ao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30.000 </w:t>
              <w:br w:type="textWrapping"/>
              <w:t xml:space="preserve">(ao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30.000 </w:t>
              <w:br w:type="textWrapping"/>
              <w:t xml:space="preserve">(ao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120.000</w:t>
            </w:r>
          </w:p>
        </w:tc>
      </w:tr>
    </w:tbl>
    <w:p w:rsidR="00000000" w:rsidDel="00000000" w:rsidP="00000000" w:rsidRDefault="00000000" w:rsidRPr="00000000" w14:paraId="0000029F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Observação: Essa planilha é exemplificativa, certamente existem outros custos envolvidos que a equipe de planejamento deve mensurar.</w:t>
      </w:r>
    </w:p>
    <w:p w:rsidR="00000000" w:rsidDel="00000000" w:rsidP="00000000" w:rsidRDefault="00000000" w:rsidRPr="00000000" w14:paraId="000002A1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II - Contratações similares feitas por outros órgãos executores e entidades públicas, com objetivo de identificar a existência de novas metodologias, tecnologias ou inovações, que melhor atendam às necessidades da Administração, em especial nas contratações de execução continuada ou de fornecimento contínuo de bens e serviços, com base, inclusive, no relatório final de que trata a alínea d do inciso VI do § 3.º do artigo 174 da Lei Federal n.º 14.133, de 1.º de abril de 2021;</w:t>
      </w:r>
    </w:p>
    <w:p w:rsidR="00000000" w:rsidDel="00000000" w:rsidP="00000000" w:rsidRDefault="00000000" w:rsidRPr="00000000" w14:paraId="000002A2">
      <w:pPr>
        <w:spacing w:line="360" w:lineRule="auto"/>
        <w:ind w:left="1133.8582677165352" w:right="430.2755905511822" w:firstLine="0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III - Quando a quantidade de fornecedores for restrita, após o </w:t>
      </w:r>
      <w:r w:rsidDel="00000000" w:rsidR="00000000" w:rsidRPr="00000000">
        <w:rPr>
          <w:b w:val="1"/>
          <w:rtl w:val="0"/>
        </w:rPr>
        <w:t xml:space="preserve">levantamento de mercado de que trata o inciso V</w:t>
      </w:r>
      <w:r w:rsidDel="00000000" w:rsidR="00000000" w:rsidRPr="00000000">
        <w:rPr>
          <w:rtl w:val="0"/>
        </w:rPr>
        <w:t xml:space="preserve"> do artigo 18 da Lei Federal n.º 14.133, de 1.º de abril de 2021, se os requisitos que limitam a participação são realmente indispensáveis, flexibilizando-os, sempre que possível; </w:t>
      </w:r>
      <w:r w:rsidDel="00000000" w:rsidR="00000000" w:rsidRPr="00000000">
        <w:rPr>
          <w:b w:val="1"/>
          <w:highlight w:val="white"/>
          <w:rtl w:val="0"/>
        </w:rPr>
        <w:t xml:space="preserve">(requisitos suficientes e necessários)</w:t>
      </w:r>
    </w:p>
    <w:p w:rsidR="00000000" w:rsidDel="00000000" w:rsidP="00000000" w:rsidRDefault="00000000" w:rsidRPr="00000000" w14:paraId="000002A3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IV - A possibilidade de utilização de mão de obra, materiais, tecnologias e matérias primas existentes no local de execução, conservação e operação do bem, serviço ou obra, desde que não haja prejuízos à competitividade do processo licitatório e à eficiência do respectivo contrato, nos termos do § 2.º do artigo 25 da Lei Federal n.º 14.133, de 1º de abril de 2021;</w:t>
      </w:r>
    </w:p>
    <w:p w:rsidR="00000000" w:rsidDel="00000000" w:rsidP="00000000" w:rsidRDefault="00000000" w:rsidRPr="00000000" w14:paraId="000002A4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V - A necessidade de exigir que os serviços de manutenção e assistência técnica sejam prestados mediante deslocamento de técnico ou disponibilizados em unidades de prestação de serviços, localizada em distância compatível com suas necessidades, conforme dispõe o § 4.º do artigo 40 da Lei Federal n.º 14.133, de 1.º de abril de 2021.</w:t>
      </w:r>
    </w:p>
    <w:p w:rsidR="00000000" w:rsidDel="00000000" w:rsidP="00000000" w:rsidRDefault="00000000" w:rsidRPr="00000000" w14:paraId="000002A5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§ 2.º O órgão executor poderá realizar audiência ou consulta pública, preferencialmente, por meio do sistema e-compras.am e sítio eletrônico do órgão executor, para a coleta de contribuições.</w:t>
      </w:r>
    </w:p>
    <w:p w:rsidR="00000000" w:rsidDel="00000000" w:rsidP="00000000" w:rsidRDefault="00000000" w:rsidRPr="00000000" w14:paraId="000002A6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§ 3.º O estudo técnico preliminar de aquisição, locação ou contratação de bens ou serviços de tecnologia da informação e comunicação - TIC deverá observar as normas definidas na Lei Estadual n.º 4.383, de 10 de outubro de 2016, e suas regulamentações.</w:t>
      </w:r>
    </w:p>
    <w:p w:rsidR="00000000" w:rsidDel="00000000" w:rsidP="00000000" w:rsidRDefault="00000000" w:rsidRPr="00000000" w14:paraId="000002A7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§ 4.º A elaboração do estudo técnico preliminar é: </w:t>
      </w:r>
    </w:p>
    <w:p w:rsidR="00000000" w:rsidDel="00000000" w:rsidP="00000000" w:rsidRDefault="00000000" w:rsidRPr="00000000" w14:paraId="000002A8">
      <w:pPr>
        <w:spacing w:line="360" w:lineRule="auto"/>
        <w:ind w:left="1133.8582677165352" w:right="430.2755905511822" w:firstLine="0"/>
        <w:rPr/>
      </w:pPr>
      <w:r w:rsidDel="00000000" w:rsidR="00000000" w:rsidRPr="00000000">
        <w:rPr>
          <w:rtl w:val="0"/>
        </w:rPr>
        <w:t xml:space="preserve">I - Facultada: nas hipóteses dos incisos I, II, VII e VIII do artigo 75 e do § 7.º do artigo 90 da Lei Federal n.º 14.133, de 1.º de abril de 2021; e</w:t>
      </w:r>
    </w:p>
    <w:p w:rsidR="00000000" w:rsidDel="00000000" w:rsidP="00000000" w:rsidRDefault="00000000" w:rsidRPr="00000000" w14:paraId="000002A9">
      <w:pPr>
        <w:spacing w:line="360" w:lineRule="auto"/>
        <w:ind w:left="1133.8582677165352" w:right="430.2755905511822" w:firstLine="0"/>
        <w:rPr>
          <w:color w:val="ff0000"/>
        </w:rPr>
      </w:pPr>
      <w:r w:rsidDel="00000000" w:rsidR="00000000" w:rsidRPr="00000000">
        <w:rPr>
          <w:rtl w:val="0"/>
        </w:rPr>
        <w:t xml:space="preserve">II - Dispensável: na hipótese do inciso III do artigo 75 da Lei Federal n.º 14.133, de 1.º de abril de 2021, e, ainda, nos casos de prorrogações contratuais relativas a objetos de obras ou prestação de natureza continuada.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4.645669291339" w:top="2267.716535433071" w:left="566.9291338582677" w:right="710.078740157480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1"/>
        <w:strike w:val="0"/>
        <w:color w:val="4472c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1"/>
        <w:strike w:val="0"/>
        <w:color w:val="4472c4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4811395</wp:posOffset>
          </wp:positionH>
          <wp:positionV relativeFrom="paragraph">
            <wp:posOffset>-672464</wp:posOffset>
          </wp:positionV>
          <wp:extent cx="201930" cy="257175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4684395</wp:posOffset>
          </wp:positionH>
          <wp:positionV relativeFrom="paragraph">
            <wp:posOffset>-655954</wp:posOffset>
          </wp:positionV>
          <wp:extent cx="93345" cy="68072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2651760</wp:posOffset>
          </wp:positionH>
          <wp:positionV relativeFrom="paragraph">
            <wp:posOffset>-641984</wp:posOffset>
          </wp:positionV>
          <wp:extent cx="93345" cy="68072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4939665</wp:posOffset>
          </wp:positionH>
          <wp:positionV relativeFrom="paragraph">
            <wp:posOffset>-687704</wp:posOffset>
          </wp:positionV>
          <wp:extent cx="1457325" cy="723900"/>
          <wp:effectExtent b="0" l="0" r="0" t="0"/>
          <wp:wrapNone/>
          <wp:docPr descr="C:\Users\04082837264\Downloads\Marca_Horizontal_Color@2x (10).png" id="7" name="image1.png"/>
          <a:graphic>
            <a:graphicData uri="http://schemas.openxmlformats.org/drawingml/2006/picture">
              <pic:pic>
                <pic:nvPicPr>
                  <pic:cNvPr descr="C:\Users\04082837264\Downloads\Marca_Horizontal_Color@2x (10).png" id="0" name="image1.png"/>
                  <pic:cNvPicPr preferRelativeResize="0"/>
                </pic:nvPicPr>
                <pic:blipFill>
                  <a:blip r:embed="rId3"/>
                  <a:srcRect b="33333" l="6701" r="66314" t="29951"/>
                  <a:stretch>
                    <a:fillRect/>
                  </a:stretch>
                </pic:blipFill>
                <pic:spPr>
                  <a:xfrm>
                    <a:off x="0" y="0"/>
                    <a:ext cx="1457325" cy="723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-589279</wp:posOffset>
              </wp:positionV>
              <wp:extent cx="2114550" cy="141414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93488" y="3077690"/>
                        <a:ext cx="21050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http://www.saude.am.gov.br/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facebook.com/saudeam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instagram.com/saudeam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-589279</wp:posOffset>
              </wp:positionV>
              <wp:extent cx="2114550" cy="1414145"/>
              <wp:effectExtent b="0" l="0" r="0" t="0"/>
              <wp:wrapSquare wrapText="bothSides" distB="45720" distT="4572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455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-640079</wp:posOffset>
              </wp:positionV>
              <wp:extent cx="2000250" cy="79057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50638" y="3389475"/>
                        <a:ext cx="19907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Fone: (92) 3643-6388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Avenida André Araújo, 701 - Aleixo, Manaus – 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1b335d"/>
                              <w:sz w:val="18"/>
                              <w:vertAlign w:val="baseline"/>
                            </w:rPr>
                            <w:t xml:space="preserve">CEP: 69060-000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-640079</wp:posOffset>
              </wp:positionV>
              <wp:extent cx="2000250" cy="790575"/>
              <wp:effectExtent b="0" l="0" r="0" t="0"/>
              <wp:wrapSquare wrapText="bothSides" distB="45720" distT="4572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790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281.81102362204797" w:firstLine="5669.291338582678"/>
      <w:jc w:val="right"/>
      <w:rPr>
        <w:b w:val="1"/>
        <w:smallCaps w:val="1"/>
        <w:sz w:val="18"/>
        <w:szCs w:val="18"/>
      </w:rPr>
    </w:pPr>
    <w:r w:rsidDel="00000000" w:rsidR="00000000" w:rsidRPr="00000000">
      <w:rPr>
        <w:b w:val="1"/>
        <w:i w:val="0"/>
        <w:smallCaps w:val="1"/>
        <w:strike w:val="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-438149</wp:posOffset>
          </wp:positionV>
          <wp:extent cx="7549351" cy="10675088"/>
          <wp:effectExtent b="0" l="0" r="0" t="0"/>
          <wp:wrapNone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Arial" w:cs="Arial" w:eastAsia="Arial" w:hAnsi="Arial"/>
        <w:b w:val="1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0" w:firstLine="0"/>
      </w:pPr>
      <w:rPr>
        <w:rFonts w:ascii="Arial" w:cs="Arial" w:eastAsia="Arial" w:hAnsi="Arial"/>
        <w:b w:val="1"/>
      </w:rPr>
    </w:lvl>
    <w:lvl w:ilvl="3">
      <w:start w:val="1"/>
      <w:numFmt w:val="decimal"/>
      <w:lvlText w:val="%1.%2.%3.%4."/>
      <w:lvlJc w:val="left"/>
      <w:pPr>
        <w:ind w:left="1140" w:firstLine="0"/>
      </w:pPr>
      <w:rPr>
        <w:rFonts w:ascii="Arial" w:cs="Arial" w:eastAsia="Arial" w:hAnsi="Arial"/>
        <w:b w:val="1"/>
      </w:rPr>
    </w:lvl>
    <w:lvl w:ilvl="4">
      <w:start w:val="1"/>
      <w:numFmt w:val="decimal"/>
      <w:lvlText w:val="%1.%2.%3.%4.%5."/>
      <w:lvlJc w:val="left"/>
      <w:pPr>
        <w:ind w:left="1140" w:firstLine="0"/>
      </w:pPr>
      <w:rPr>
        <w:rFonts w:ascii="Arial" w:cs="Arial" w:eastAsia="Arial" w:hAnsi="Arial"/>
        <w:b w:val="1"/>
      </w:rPr>
    </w:lvl>
    <w:lvl w:ilvl="5">
      <w:start w:val="1"/>
      <w:numFmt w:val="decimal"/>
      <w:lvlText w:val="%1.%2.%3.%4.%5.%6."/>
      <w:lvlJc w:val="left"/>
      <w:pPr>
        <w:ind w:left="1140" w:firstLine="0"/>
      </w:pPr>
      <w:rPr>
        <w:rFonts w:ascii="Arial" w:cs="Arial" w:eastAsia="Arial" w:hAnsi="Arial"/>
        <w:b w:val="1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left="566.929133858267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ind w:firstLine="206.92913385826756"/>
    </w:pPr>
    <w:rPr>
      <w:b w:val="1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4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ude.am.gov.br/planos-e-relatorio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