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F28D7" w14:textId="77777777" w:rsidR="00EB72A3" w:rsidRDefault="00EB72A3" w:rsidP="00EB72A3">
      <w:pPr>
        <w:pStyle w:val="SemEspaamento"/>
        <w:rPr>
          <w:rFonts w:ascii="Verdana" w:hAnsi="Verdana"/>
          <w:b/>
          <w:sz w:val="24"/>
        </w:rPr>
      </w:pPr>
      <w:bookmarkStart w:id="0" w:name="_GoBack"/>
    </w:p>
    <w:p w14:paraId="151F28D8" w14:textId="77777777" w:rsidR="00E64132" w:rsidRPr="0069235D" w:rsidRDefault="00E64132" w:rsidP="00EB72A3">
      <w:pPr>
        <w:pStyle w:val="SemEspaamento"/>
        <w:jc w:val="center"/>
        <w:rPr>
          <w:rFonts w:ascii="Verdana" w:hAnsi="Verdana"/>
          <w:b/>
          <w:sz w:val="24"/>
        </w:rPr>
      </w:pPr>
      <w:r w:rsidRPr="0069235D">
        <w:rPr>
          <w:rFonts w:ascii="Verdana" w:hAnsi="Verdana"/>
          <w:b/>
          <w:smallCaps/>
          <w:sz w:val="24"/>
        </w:rPr>
        <w:t>Gerência de Projetos Básicos</w:t>
      </w:r>
      <w:r w:rsidRPr="0069235D">
        <w:rPr>
          <w:rFonts w:ascii="Verdana" w:hAnsi="Verdana"/>
          <w:b/>
          <w:sz w:val="24"/>
        </w:rPr>
        <w:t xml:space="preserve"> </w:t>
      </w:r>
      <w:r w:rsidRPr="0069235D">
        <w:rPr>
          <w:rFonts w:ascii="Verdana" w:hAnsi="Verdana"/>
          <w:b/>
          <w:smallCaps/>
          <w:sz w:val="24"/>
        </w:rPr>
        <w:t>(GPB)</w:t>
      </w:r>
    </w:p>
    <w:p w14:paraId="61CE6D47" w14:textId="617431E9" w:rsidR="005F401A" w:rsidRPr="005F401A" w:rsidRDefault="00EE5841" w:rsidP="005F401A">
      <w:pPr>
        <w:pStyle w:val="CitaoIntensa"/>
        <w:pBdr>
          <w:top w:val="none" w:sz="0" w:space="0" w:color="auto"/>
          <w:bottom w:val="none" w:sz="0" w:space="0" w:color="auto"/>
        </w:pBdr>
        <w:rPr>
          <w:rFonts w:ascii="Verdana" w:hAnsi="Verdana"/>
          <w:color w:val="auto"/>
          <w:sz w:val="24"/>
        </w:rPr>
      </w:pPr>
      <w:r w:rsidRPr="0069235D">
        <w:rPr>
          <w:rFonts w:ascii="Verdana" w:hAnsi="Verdana"/>
          <w:color w:val="auto"/>
          <w:sz w:val="24"/>
        </w:rPr>
        <w:t>E</w:t>
      </w:r>
      <w:r w:rsidR="00E64132" w:rsidRPr="0069235D">
        <w:rPr>
          <w:rFonts w:ascii="Verdana" w:hAnsi="Verdana"/>
          <w:color w:val="auto"/>
          <w:sz w:val="24"/>
        </w:rPr>
        <w:t xml:space="preserve">studos </w:t>
      </w:r>
      <w:r w:rsidRPr="0069235D">
        <w:rPr>
          <w:rFonts w:ascii="Verdana" w:hAnsi="Verdana"/>
          <w:color w:val="auto"/>
          <w:sz w:val="24"/>
        </w:rPr>
        <w:t>Técnicos Preliminares (ETP)</w:t>
      </w:r>
      <w:r w:rsidRPr="0069235D">
        <w:rPr>
          <w:rStyle w:val="Refdenotaderodap"/>
          <w:rFonts w:ascii="Verdana" w:hAnsi="Verdana"/>
          <w:color w:val="auto"/>
          <w:sz w:val="24"/>
        </w:rPr>
        <w:footnoteReference w:id="1"/>
      </w:r>
      <w:r w:rsidR="00EB72A3" w:rsidRPr="0069235D">
        <w:rPr>
          <w:rFonts w:ascii="Verdana" w:hAnsi="Verdana"/>
          <w:color w:val="auto"/>
          <w:sz w:val="24"/>
        </w:rPr>
        <w:t xml:space="preserve"> para elaboração de </w:t>
      </w:r>
      <w:r w:rsidR="008E511B">
        <w:rPr>
          <w:rFonts w:ascii="Verdana" w:hAnsi="Verdana"/>
          <w:color w:val="auto"/>
          <w:sz w:val="24"/>
        </w:rPr>
        <w:t>Projetos Básicos</w:t>
      </w:r>
      <w:r w:rsidR="00B677BA">
        <w:rPr>
          <w:rFonts w:ascii="Verdana" w:hAnsi="Verdana"/>
          <w:color w:val="auto"/>
          <w:sz w:val="24"/>
        </w:rPr>
        <w:t xml:space="preserve"> </w:t>
      </w:r>
      <w:r w:rsidR="00EB72A3" w:rsidRPr="0069235D">
        <w:rPr>
          <w:rFonts w:ascii="Verdana" w:hAnsi="Verdana"/>
          <w:color w:val="auto"/>
          <w:sz w:val="24"/>
        </w:rPr>
        <w:t>(</w:t>
      </w:r>
      <w:r w:rsidR="008E511B">
        <w:rPr>
          <w:rFonts w:ascii="Verdana" w:hAnsi="Verdana"/>
          <w:color w:val="auto"/>
          <w:sz w:val="24"/>
        </w:rPr>
        <w:t>contratação de serviços</w:t>
      </w:r>
      <w:r w:rsidR="00B677BA">
        <w:rPr>
          <w:rFonts w:ascii="Verdana" w:hAnsi="Verdana"/>
          <w:color w:val="auto"/>
          <w:sz w:val="24"/>
        </w:rPr>
        <w:t>)</w:t>
      </w:r>
      <w:r w:rsidR="00EB72A3" w:rsidRPr="0069235D">
        <w:rPr>
          <w:rFonts w:ascii="Verdana" w:hAnsi="Verdana"/>
          <w:color w:val="auto"/>
          <w:sz w:val="24"/>
        </w:rPr>
        <w:t xml:space="preserve"> </w:t>
      </w:r>
    </w:p>
    <w:p w14:paraId="4ADB65BB" w14:textId="0650220A" w:rsidR="00A97DEA" w:rsidRDefault="005F401A" w:rsidP="00A97D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1CBA5" wp14:editId="763B26A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811145" cy="1457325"/>
                <wp:effectExtent l="0" t="0" r="2730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E051" w14:textId="75F27685" w:rsidR="00A97DEA" w:rsidRPr="00FE1BC8" w:rsidRDefault="00FE1BC8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</w:rPr>
                              <w:t>INSTRUÇÕES</w:t>
                            </w:r>
                            <w:r w:rsidR="006C5EDD" w:rsidRPr="00FE1BC8">
                              <w:rPr>
                                <w:rFonts w:ascii="Verdana" w:hAnsi="Verdana"/>
                                <w:sz w:val="20"/>
                              </w:rPr>
                              <w:t>:</w:t>
                            </w:r>
                          </w:p>
                          <w:p w14:paraId="26616887" w14:textId="2FDCCE57" w:rsidR="006C5EDD" w:rsidRDefault="00AB264D" w:rsidP="00AB264D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FE1BC8">
                              <w:rPr>
                                <w:rFonts w:ascii="Verdana" w:hAnsi="Verdana"/>
                                <w:sz w:val="20"/>
                              </w:rPr>
                              <w:t xml:space="preserve">As partes escritas em </w:t>
                            </w:r>
                            <w:r w:rsidRPr="00FE1BC8"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  <w:t>letra vermelha</w:t>
                            </w:r>
                            <w:r w:rsidRPr="00FE1BC8">
                              <w:rPr>
                                <w:rFonts w:ascii="Verdana" w:hAnsi="Verdana"/>
                                <w:sz w:val="20"/>
                              </w:rPr>
                              <w:t xml:space="preserve"> são observações que, uma vez compreendidas, devem ser apagadas, para dar lugar às respostas ao questionário.</w:t>
                            </w:r>
                          </w:p>
                          <w:p w14:paraId="14576252" w14:textId="77777777" w:rsidR="00F258FE" w:rsidRPr="00FE1BC8" w:rsidRDefault="00F258FE" w:rsidP="00AB264D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1CB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15pt;width:221.35pt;height:11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">
                <v:textbox>
                  <w:txbxContent>
                    <w:p w14:paraId="3406E051" w14:textId="75F27685" w:rsidR="00A97DEA" w:rsidRPr="00FE1BC8" w:rsidRDefault="00FE1BC8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</w:rPr>
                        <w:t>INSTRUÇÕES</w:t>
                      </w:r>
                      <w:r w:rsidR="006C5EDD" w:rsidRPr="00FE1BC8">
                        <w:rPr>
                          <w:rFonts w:ascii="Verdana" w:hAnsi="Verdana"/>
                          <w:sz w:val="20"/>
                        </w:rPr>
                        <w:t>:</w:t>
                      </w:r>
                    </w:p>
                    <w:p w14:paraId="26616887" w14:textId="2FDCCE57" w:rsidR="006C5EDD" w:rsidRDefault="00AB264D" w:rsidP="00AB264D">
                      <w:pPr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 w:rsidRPr="00FE1BC8">
                        <w:rPr>
                          <w:rFonts w:ascii="Verdana" w:hAnsi="Verdana"/>
                          <w:sz w:val="20"/>
                        </w:rPr>
                        <w:t xml:space="preserve">As partes escritas em </w:t>
                      </w:r>
                      <w:r w:rsidRPr="00FE1BC8">
                        <w:rPr>
                          <w:rFonts w:ascii="Verdana" w:hAnsi="Verdana"/>
                          <w:color w:val="FF0000"/>
                          <w:sz w:val="20"/>
                        </w:rPr>
                        <w:t>letra vermelha</w:t>
                      </w:r>
                      <w:r w:rsidRPr="00FE1BC8">
                        <w:rPr>
                          <w:rFonts w:ascii="Verdana" w:hAnsi="Verdana"/>
                          <w:sz w:val="20"/>
                        </w:rPr>
                        <w:t xml:space="preserve"> são observações que, uma vez compreendidas, devem ser apagadas, para dar lugar às respostas ao questionário.</w:t>
                      </w:r>
                    </w:p>
                    <w:p w14:paraId="14576252" w14:textId="77777777" w:rsidR="00F258FE" w:rsidRPr="00FE1BC8" w:rsidRDefault="00F258FE" w:rsidP="00AB264D">
                      <w:pPr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DAA527" w14:textId="77777777" w:rsidR="00A97DEA" w:rsidRDefault="00A97DEA" w:rsidP="00A97DEA"/>
    <w:p w14:paraId="6455D846" w14:textId="77777777" w:rsidR="00A97DEA" w:rsidRDefault="00A97DEA" w:rsidP="00A97DEA"/>
    <w:p w14:paraId="7D91E0A4" w14:textId="77777777" w:rsidR="005F401A" w:rsidRDefault="005F401A" w:rsidP="00A97DEA"/>
    <w:p w14:paraId="08D43070" w14:textId="77777777" w:rsidR="00F258FE" w:rsidRDefault="00F258FE" w:rsidP="00A97DEA"/>
    <w:p w14:paraId="006DB7F1" w14:textId="77777777" w:rsidR="005F401A" w:rsidRDefault="005F401A" w:rsidP="00A97DEA"/>
    <w:p w14:paraId="1E2F36D6" w14:textId="77777777" w:rsidR="00F258FE" w:rsidRDefault="00F258FE" w:rsidP="00A97DEA"/>
    <w:p w14:paraId="151F28DA" w14:textId="7E784D3A" w:rsidR="003D7212" w:rsidRPr="00F258FE" w:rsidRDefault="0069235D" w:rsidP="00E64132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Nome do</w:t>
      </w:r>
      <w:r w:rsidR="003D7212" w:rsidRPr="00F23EB8">
        <w:rPr>
          <w:rFonts w:ascii="Verdana" w:hAnsi="Verdana"/>
          <w:sz w:val="24"/>
        </w:rPr>
        <w:t xml:space="preserve"> setor demandante</w:t>
      </w:r>
      <w:r>
        <w:rPr>
          <w:rFonts w:ascii="Verdana" w:hAnsi="Verdana"/>
          <w:sz w:val="24"/>
        </w:rPr>
        <w:t>:</w:t>
      </w:r>
    </w:p>
    <w:p w14:paraId="151F28DB" w14:textId="77777777" w:rsidR="003D7212" w:rsidRPr="00F23EB8" w:rsidRDefault="003D7212" w:rsidP="003D7212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8DC" w14:textId="77777777" w:rsidR="00E64132" w:rsidRDefault="0069235D" w:rsidP="00E64132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Descrição do</w:t>
      </w:r>
      <w:r w:rsidR="00E64132" w:rsidRPr="00F23EB8">
        <w:rPr>
          <w:rFonts w:ascii="Verdana" w:hAnsi="Verdana"/>
          <w:sz w:val="24"/>
        </w:rPr>
        <w:t xml:space="preserve"> objeto da contratação</w:t>
      </w:r>
      <w:r>
        <w:rPr>
          <w:rFonts w:ascii="Verdana" w:hAnsi="Verdana"/>
          <w:sz w:val="24"/>
        </w:rPr>
        <w:t>:</w:t>
      </w:r>
    </w:p>
    <w:p w14:paraId="151F28DD" w14:textId="77777777" w:rsidR="0069235D" w:rsidRDefault="0069235D" w:rsidP="0069235D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58CEBB0D" w14:textId="77777777" w:rsidR="005F31B0" w:rsidRDefault="005F31B0" w:rsidP="005F31B0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Com que fonte de recurso a solução pretendida será custeada?</w:t>
      </w:r>
    </w:p>
    <w:p w14:paraId="0DEACDFF" w14:textId="77777777" w:rsidR="005F31B0" w:rsidRDefault="005F31B0" w:rsidP="005F31B0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03ED752D" w14:textId="77777777" w:rsidR="005F31B0" w:rsidRPr="004020D5" w:rsidRDefault="005F31B0" w:rsidP="005F31B0">
      <w:pPr>
        <w:pStyle w:val="SemEspaamento"/>
        <w:numPr>
          <w:ilvl w:val="0"/>
          <w:numId w:val="42"/>
        </w:numPr>
        <w:ind w:left="1701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>Se não houver verbas federais previamente destinadas à solução pretendida, deve-se tentar realiza-la através da fonte estadual.</w:t>
      </w:r>
    </w:p>
    <w:p w14:paraId="2F974214" w14:textId="77777777" w:rsidR="005F31B0" w:rsidRDefault="005F31B0" w:rsidP="0069235D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5146BAF9" w14:textId="77777777" w:rsidR="00284F87" w:rsidRDefault="00245C06" w:rsidP="00284F87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Há outras gerências da SE</w:t>
      </w:r>
      <w:r w:rsidR="005C5233">
        <w:rPr>
          <w:rFonts w:ascii="Verdana" w:hAnsi="Verdana"/>
          <w:sz w:val="24"/>
        </w:rPr>
        <w:t>A</w:t>
      </w:r>
      <w:r w:rsidRPr="00F23EB8">
        <w:rPr>
          <w:rFonts w:ascii="Verdana" w:hAnsi="Verdana"/>
          <w:sz w:val="24"/>
        </w:rPr>
        <w:t>ASC/SEAASI e/ou outros setores da SUSAM interessad</w:t>
      </w:r>
      <w:r w:rsidR="00796733">
        <w:rPr>
          <w:rFonts w:ascii="Verdana" w:hAnsi="Verdana"/>
          <w:sz w:val="24"/>
        </w:rPr>
        <w:t>os em contratar o mesmo objeto?</w:t>
      </w:r>
    </w:p>
    <w:p w14:paraId="65CB7E34" w14:textId="77777777" w:rsidR="00284F87" w:rsidRPr="00284F87" w:rsidRDefault="00284F87" w:rsidP="00284F87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8DE" w14:textId="217FC0A5" w:rsidR="00245C06" w:rsidRPr="00284F87" w:rsidRDefault="0069235D" w:rsidP="00284F87">
      <w:pPr>
        <w:pStyle w:val="SemEspaamento"/>
        <w:numPr>
          <w:ilvl w:val="0"/>
          <w:numId w:val="24"/>
        </w:numPr>
        <w:ind w:left="1701" w:hanging="567"/>
        <w:jc w:val="both"/>
        <w:rPr>
          <w:rFonts w:ascii="Verdana" w:hAnsi="Verdana"/>
          <w:sz w:val="24"/>
        </w:rPr>
      </w:pPr>
      <w:r w:rsidRPr="00284F87">
        <w:rPr>
          <w:rFonts w:ascii="Verdana" w:hAnsi="Verdana"/>
          <w:color w:val="FF0000"/>
          <w:sz w:val="24"/>
        </w:rPr>
        <w:t>R</w:t>
      </w:r>
      <w:r w:rsidR="00796733" w:rsidRPr="00284F87">
        <w:rPr>
          <w:rFonts w:ascii="Verdana" w:hAnsi="Verdana"/>
          <w:color w:val="FF0000"/>
          <w:sz w:val="24"/>
        </w:rPr>
        <w:t xml:space="preserve">ecomenda-se comunicação com gerências e setores afins – seja pessoalmente, através da intranet, via e-mail ou de qualquer outra forma – para </w:t>
      </w:r>
      <w:r w:rsidR="00245C06" w:rsidRPr="00284F87">
        <w:rPr>
          <w:rFonts w:ascii="Verdana" w:hAnsi="Verdana"/>
          <w:color w:val="FF0000"/>
          <w:sz w:val="24"/>
        </w:rPr>
        <w:t>levantar</w:t>
      </w:r>
      <w:r w:rsidRPr="00284F87">
        <w:rPr>
          <w:rFonts w:ascii="Verdana" w:hAnsi="Verdana"/>
          <w:color w:val="FF0000"/>
          <w:sz w:val="24"/>
        </w:rPr>
        <w:t xml:space="preserve"> e informar</w:t>
      </w:r>
      <w:r w:rsidR="00245C06" w:rsidRPr="00284F87">
        <w:rPr>
          <w:rFonts w:ascii="Verdana" w:hAnsi="Verdana"/>
          <w:color w:val="FF0000"/>
          <w:sz w:val="24"/>
        </w:rPr>
        <w:t xml:space="preserve"> os quantitativos necessários</w:t>
      </w:r>
      <w:r w:rsidRPr="00284F87">
        <w:rPr>
          <w:rFonts w:ascii="Verdana" w:hAnsi="Verdana"/>
          <w:color w:val="FF0000"/>
          <w:sz w:val="24"/>
        </w:rPr>
        <w:t xml:space="preserve"> para cada um</w:t>
      </w:r>
      <w:r w:rsidR="00BA69FB" w:rsidRPr="00284F87">
        <w:rPr>
          <w:rFonts w:ascii="Verdana" w:hAnsi="Verdana"/>
          <w:color w:val="FF0000"/>
          <w:sz w:val="24"/>
        </w:rPr>
        <w:t xml:space="preserve">, a fim de evitar </w:t>
      </w:r>
      <w:r w:rsidR="00245C06" w:rsidRPr="00284F87">
        <w:rPr>
          <w:rFonts w:ascii="Verdana" w:hAnsi="Verdana"/>
          <w:color w:val="FF0000"/>
          <w:sz w:val="24"/>
        </w:rPr>
        <w:t>fracionamentos indevidos</w:t>
      </w:r>
      <w:r w:rsidR="0048434C" w:rsidRPr="00F23EB8">
        <w:rPr>
          <w:rStyle w:val="Refdenotaderodap"/>
          <w:rFonts w:ascii="Verdana" w:hAnsi="Verdana"/>
          <w:sz w:val="24"/>
        </w:rPr>
        <w:footnoteReference w:id="2"/>
      </w:r>
      <w:r w:rsidR="00245C06" w:rsidRPr="00284F87">
        <w:rPr>
          <w:rFonts w:ascii="Verdana" w:hAnsi="Verdana"/>
          <w:sz w:val="24"/>
        </w:rPr>
        <w:t>.</w:t>
      </w:r>
    </w:p>
    <w:p w14:paraId="151F28DF" w14:textId="77777777" w:rsidR="0069235D" w:rsidRDefault="0069235D" w:rsidP="0069235D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2D449298" w14:textId="77777777" w:rsidR="00E0749C" w:rsidRDefault="0069235D" w:rsidP="004F4248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</w:t>
      </w:r>
      <w:r w:rsidR="004F4248" w:rsidRPr="00F23EB8">
        <w:rPr>
          <w:rFonts w:ascii="Verdana" w:hAnsi="Verdana"/>
          <w:sz w:val="24"/>
        </w:rPr>
        <w:t>ocal(ais) de execução do contrato</w:t>
      </w:r>
      <w:r>
        <w:rPr>
          <w:rFonts w:ascii="Verdana" w:hAnsi="Verdana"/>
          <w:sz w:val="24"/>
        </w:rPr>
        <w:t>:</w:t>
      </w:r>
    </w:p>
    <w:p w14:paraId="56B89074" w14:textId="77777777" w:rsidR="00E0749C" w:rsidRDefault="00E0749C" w:rsidP="00E0749C">
      <w:pPr>
        <w:pStyle w:val="SemEspaamento"/>
        <w:ind w:left="567"/>
        <w:jc w:val="both"/>
        <w:rPr>
          <w:rFonts w:ascii="Verdana" w:hAnsi="Verdana"/>
          <w:sz w:val="24"/>
        </w:rPr>
      </w:pPr>
    </w:p>
    <w:p w14:paraId="151F28E1" w14:textId="15FAFDD0" w:rsidR="0069235D" w:rsidRPr="00CB7971" w:rsidRDefault="00AE625F" w:rsidP="00CB7971">
      <w:pPr>
        <w:pStyle w:val="SemEspaamento"/>
        <w:numPr>
          <w:ilvl w:val="0"/>
          <w:numId w:val="25"/>
        </w:numPr>
        <w:ind w:left="2268" w:hanging="567"/>
        <w:jc w:val="both"/>
        <w:rPr>
          <w:rFonts w:ascii="Verdana" w:hAnsi="Verdana"/>
          <w:sz w:val="24"/>
        </w:rPr>
      </w:pPr>
      <w:r w:rsidRPr="00CB7971">
        <w:rPr>
          <w:rFonts w:ascii="Verdana" w:hAnsi="Verdana"/>
          <w:color w:val="FF0000"/>
          <w:sz w:val="24"/>
        </w:rPr>
        <w:t>In</w:t>
      </w:r>
      <w:r w:rsidR="00CB7971" w:rsidRPr="00CB7971">
        <w:rPr>
          <w:rFonts w:ascii="Verdana" w:hAnsi="Verdana"/>
          <w:color w:val="FF0000"/>
          <w:sz w:val="24"/>
        </w:rPr>
        <w:t xml:space="preserve">formar se os serviços a serem contratados deverão ser prestados nas dependências da contratante. </w:t>
      </w:r>
    </w:p>
    <w:p w14:paraId="58E7C21E" w14:textId="77777777" w:rsidR="00CB7971" w:rsidRPr="00CB7971" w:rsidRDefault="00CB7971" w:rsidP="00CB7971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8E2" w14:textId="77777777" w:rsidR="00CC41A7" w:rsidRPr="00F23EB8" w:rsidRDefault="00AB09E9" w:rsidP="006D3EBA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F</w:t>
      </w:r>
      <w:r w:rsidR="00CC41A7" w:rsidRPr="00F23EB8">
        <w:rPr>
          <w:rFonts w:ascii="Verdana" w:hAnsi="Verdana"/>
          <w:sz w:val="24"/>
        </w:rPr>
        <w:t>orma de seleção do(s) fornecedor(es)</w:t>
      </w:r>
      <w:r w:rsidR="0048434C" w:rsidRPr="00F23EB8">
        <w:rPr>
          <w:rFonts w:ascii="Verdana" w:hAnsi="Verdana"/>
          <w:sz w:val="24"/>
        </w:rPr>
        <w:t xml:space="preserve"> </w:t>
      </w:r>
      <w:r w:rsidRPr="00F23EB8">
        <w:rPr>
          <w:rFonts w:ascii="Verdana" w:hAnsi="Verdana"/>
          <w:sz w:val="24"/>
        </w:rPr>
        <w:t>a ser</w:t>
      </w:r>
      <w:r w:rsidR="0048434C" w:rsidRPr="00F23EB8">
        <w:rPr>
          <w:rFonts w:ascii="Verdana" w:hAnsi="Verdana"/>
          <w:sz w:val="24"/>
        </w:rPr>
        <w:t xml:space="preserve"> adotada</w:t>
      </w:r>
      <w:r w:rsidRPr="00F23EB8">
        <w:rPr>
          <w:rFonts w:ascii="Verdana" w:hAnsi="Verdana"/>
          <w:sz w:val="24"/>
        </w:rPr>
        <w:t>:</w:t>
      </w:r>
    </w:p>
    <w:p w14:paraId="151F28E3" w14:textId="77777777" w:rsidR="00CC41A7" w:rsidRPr="00F23EB8" w:rsidRDefault="00CC41A7" w:rsidP="00CC41A7">
      <w:pPr>
        <w:pStyle w:val="SemEspaamento"/>
        <w:ind w:left="2160"/>
        <w:jc w:val="both"/>
        <w:rPr>
          <w:rFonts w:ascii="Verdana" w:hAnsi="Verdana"/>
          <w:sz w:val="24"/>
        </w:rPr>
      </w:pPr>
    </w:p>
    <w:p w14:paraId="6D3ACB9A" w14:textId="77777777" w:rsidR="00E0749C" w:rsidRDefault="006D3EBA" w:rsidP="006D3EBA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Existe(m) contrato(s) vigente(s) com o mesmo objeto que possa(m) ser aditivado(s), a fim de que não precisemos p</w:t>
      </w:r>
      <w:r w:rsidR="00E0749C">
        <w:rPr>
          <w:rFonts w:ascii="Verdana" w:hAnsi="Verdana"/>
          <w:sz w:val="24"/>
        </w:rPr>
        <w:t>roceder a uma contratação nova?</w:t>
      </w:r>
    </w:p>
    <w:p w14:paraId="6FA1A7D5" w14:textId="77777777" w:rsidR="00E0749C" w:rsidRDefault="00E0749C" w:rsidP="00E0749C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8E4" w14:textId="03A1C225" w:rsidR="006D3EBA" w:rsidRPr="0069235D" w:rsidRDefault="006D3EBA" w:rsidP="00284F87">
      <w:pPr>
        <w:pStyle w:val="SemEspaamento"/>
        <w:numPr>
          <w:ilvl w:val="0"/>
          <w:numId w:val="26"/>
        </w:numPr>
        <w:ind w:left="2268" w:hanging="567"/>
        <w:jc w:val="both"/>
        <w:rPr>
          <w:rFonts w:ascii="Verdana" w:hAnsi="Verdana"/>
          <w:sz w:val="24"/>
        </w:rPr>
      </w:pPr>
      <w:r w:rsidRPr="0069235D">
        <w:rPr>
          <w:rFonts w:ascii="Verdana" w:hAnsi="Verdana"/>
          <w:color w:val="FF0000"/>
          <w:sz w:val="24"/>
        </w:rPr>
        <w:t>Caso exista(m), proceder ao(s) aditivo(s) ou ju</w:t>
      </w:r>
      <w:r w:rsidR="0069235D">
        <w:rPr>
          <w:rFonts w:ascii="Verdana" w:hAnsi="Verdana"/>
          <w:color w:val="FF0000"/>
          <w:sz w:val="24"/>
        </w:rPr>
        <w:t xml:space="preserve">stificar o porquê de não </w:t>
      </w:r>
      <w:r w:rsidR="000E4539">
        <w:rPr>
          <w:rFonts w:ascii="Verdana" w:hAnsi="Verdana"/>
          <w:color w:val="FF0000"/>
          <w:sz w:val="24"/>
        </w:rPr>
        <w:t xml:space="preserve">optar </w:t>
      </w:r>
      <w:r w:rsidR="00E35A4A">
        <w:rPr>
          <w:rFonts w:ascii="Verdana" w:hAnsi="Verdana"/>
          <w:color w:val="FF0000"/>
          <w:sz w:val="24"/>
        </w:rPr>
        <w:t>pela via do aditivo contratual</w:t>
      </w:r>
      <w:r w:rsidR="0069235D">
        <w:rPr>
          <w:rFonts w:ascii="Verdana" w:hAnsi="Verdana"/>
          <w:color w:val="FF0000"/>
          <w:sz w:val="24"/>
        </w:rPr>
        <w:t>.</w:t>
      </w:r>
    </w:p>
    <w:p w14:paraId="151F28E5" w14:textId="77777777" w:rsidR="0069235D" w:rsidRDefault="0069235D" w:rsidP="0069235D">
      <w:pPr>
        <w:pStyle w:val="SemEspaamento"/>
        <w:ind w:left="1701"/>
        <w:jc w:val="both"/>
        <w:rPr>
          <w:rFonts w:ascii="Verdana" w:hAnsi="Verdana"/>
          <w:color w:val="FF0000"/>
          <w:sz w:val="24"/>
        </w:rPr>
      </w:pPr>
    </w:p>
    <w:p w14:paraId="38F2ED77" w14:textId="77777777" w:rsidR="00E0749C" w:rsidRDefault="006D3EBA" w:rsidP="006D3EBA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Existe a possibilidade de contratação deste objeto (</w:t>
      </w:r>
      <w:r w:rsidR="00EC450B">
        <w:rPr>
          <w:rFonts w:ascii="Verdana" w:hAnsi="Verdana"/>
          <w:sz w:val="24"/>
        </w:rPr>
        <w:t xml:space="preserve">do </w:t>
      </w:r>
      <w:r w:rsidRPr="00F23EB8">
        <w:rPr>
          <w:rFonts w:ascii="Verdana" w:hAnsi="Verdana"/>
          <w:sz w:val="24"/>
        </w:rPr>
        <w:t>quantitativo que rem</w:t>
      </w:r>
      <w:r w:rsidR="00EC450B">
        <w:rPr>
          <w:rFonts w:ascii="Verdana" w:hAnsi="Verdana"/>
          <w:sz w:val="24"/>
        </w:rPr>
        <w:t xml:space="preserve">anescerá após os aditivos acima citados </w:t>
      </w:r>
      <w:r w:rsidRPr="00F23EB8">
        <w:rPr>
          <w:rFonts w:ascii="Verdana" w:hAnsi="Verdana"/>
          <w:sz w:val="24"/>
        </w:rPr>
        <w:t>ou</w:t>
      </w:r>
      <w:r w:rsidR="00697C01" w:rsidRPr="00F23EB8">
        <w:rPr>
          <w:rFonts w:ascii="Verdana" w:hAnsi="Verdana"/>
          <w:sz w:val="24"/>
        </w:rPr>
        <w:t>, ainda,</w:t>
      </w:r>
      <w:r w:rsidRPr="00F23EB8">
        <w:rPr>
          <w:rFonts w:ascii="Verdana" w:hAnsi="Verdana"/>
          <w:sz w:val="24"/>
        </w:rPr>
        <w:t xml:space="preserve"> o quantitativo total, </w:t>
      </w:r>
      <w:r w:rsidR="00EC450B">
        <w:rPr>
          <w:rFonts w:ascii="Verdana" w:hAnsi="Verdana"/>
          <w:sz w:val="24"/>
        </w:rPr>
        <w:t>caso inexistam</w:t>
      </w:r>
      <w:r w:rsidRPr="00F23EB8">
        <w:rPr>
          <w:rFonts w:ascii="Verdana" w:hAnsi="Verdana"/>
          <w:sz w:val="24"/>
        </w:rPr>
        <w:t xml:space="preserve"> contratos vigentes com o mesmo objeto, passíveis de serem aditivados) através de ata de registro de preços válida?</w:t>
      </w:r>
    </w:p>
    <w:p w14:paraId="64EFD734" w14:textId="77777777" w:rsidR="00E0749C" w:rsidRDefault="00E0749C" w:rsidP="00E0749C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02453687" w14:textId="77777777" w:rsidR="00284F87" w:rsidRDefault="00AE625F" w:rsidP="00284F87">
      <w:pPr>
        <w:pStyle w:val="SemEspaamento"/>
        <w:numPr>
          <w:ilvl w:val="0"/>
          <w:numId w:val="27"/>
        </w:numPr>
        <w:ind w:left="2268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>Caso exista</w:t>
      </w:r>
      <w:r w:rsidR="006D3EBA" w:rsidRPr="0069235D">
        <w:rPr>
          <w:rFonts w:ascii="Verdana" w:hAnsi="Verdana"/>
          <w:color w:val="FF0000"/>
          <w:sz w:val="24"/>
        </w:rPr>
        <w:t>, proceder desta forma ou ju</w:t>
      </w:r>
      <w:r w:rsidR="0069235D">
        <w:rPr>
          <w:rFonts w:ascii="Verdana" w:hAnsi="Verdana"/>
          <w:color w:val="FF0000"/>
          <w:sz w:val="24"/>
        </w:rPr>
        <w:t>stificar o porquê de não o</w:t>
      </w:r>
      <w:r w:rsidR="00037976">
        <w:rPr>
          <w:rFonts w:ascii="Verdana" w:hAnsi="Verdana"/>
          <w:color w:val="FF0000"/>
          <w:sz w:val="24"/>
        </w:rPr>
        <w:t>ptar pela aderência à(s) ata(s)</w:t>
      </w:r>
      <w:r w:rsidR="0069235D">
        <w:rPr>
          <w:rFonts w:ascii="Verdana" w:hAnsi="Verdana"/>
          <w:color w:val="FF0000"/>
          <w:sz w:val="24"/>
        </w:rPr>
        <w:t>.</w:t>
      </w:r>
    </w:p>
    <w:p w14:paraId="04BA7AD5" w14:textId="77777777" w:rsidR="00284F87" w:rsidRDefault="00284F87" w:rsidP="00284F87">
      <w:pPr>
        <w:pStyle w:val="SemEspaamento"/>
        <w:ind w:left="2268"/>
        <w:jc w:val="both"/>
        <w:rPr>
          <w:rFonts w:ascii="Verdana" w:hAnsi="Verdana"/>
          <w:sz w:val="24"/>
        </w:rPr>
      </w:pPr>
    </w:p>
    <w:p w14:paraId="5AA7E726" w14:textId="77777777" w:rsidR="00284F87" w:rsidRDefault="0048434C" w:rsidP="00284F87">
      <w:pPr>
        <w:pStyle w:val="SemEspaamento"/>
        <w:numPr>
          <w:ilvl w:val="0"/>
          <w:numId w:val="27"/>
        </w:numPr>
        <w:ind w:left="2268" w:hanging="567"/>
        <w:jc w:val="both"/>
        <w:rPr>
          <w:rFonts w:ascii="Verdana" w:hAnsi="Verdana"/>
          <w:sz w:val="24"/>
        </w:rPr>
      </w:pPr>
      <w:r w:rsidRPr="00284F87">
        <w:rPr>
          <w:rFonts w:ascii="Verdana" w:hAnsi="Verdana"/>
          <w:color w:val="FF0000"/>
          <w:sz w:val="24"/>
        </w:rPr>
        <w:t xml:space="preserve">Na hipótese </w:t>
      </w:r>
      <w:r w:rsidR="00697C01" w:rsidRPr="00284F87">
        <w:rPr>
          <w:rFonts w:ascii="Verdana" w:hAnsi="Verdana"/>
          <w:color w:val="FF0000"/>
          <w:sz w:val="24"/>
        </w:rPr>
        <w:t>em que uma</w:t>
      </w:r>
      <w:r w:rsidR="002551DC" w:rsidRPr="00284F87">
        <w:rPr>
          <w:rFonts w:ascii="Verdana" w:hAnsi="Verdana"/>
          <w:color w:val="FF0000"/>
          <w:sz w:val="24"/>
        </w:rPr>
        <w:t xml:space="preserve"> ou ambas</w:t>
      </w:r>
      <w:r w:rsidR="00697C01" w:rsidRPr="00284F87">
        <w:rPr>
          <w:rFonts w:ascii="Verdana" w:hAnsi="Verdana"/>
          <w:color w:val="FF0000"/>
          <w:sz w:val="24"/>
        </w:rPr>
        <w:t xml:space="preserve"> </w:t>
      </w:r>
      <w:r w:rsidR="002551DC" w:rsidRPr="00284F87">
        <w:rPr>
          <w:rFonts w:ascii="Verdana" w:hAnsi="Verdana"/>
          <w:color w:val="FF0000"/>
          <w:sz w:val="24"/>
        </w:rPr>
        <w:t>a</w:t>
      </w:r>
      <w:r w:rsidR="00697C01" w:rsidRPr="00284F87">
        <w:rPr>
          <w:rFonts w:ascii="Verdana" w:hAnsi="Verdana"/>
          <w:color w:val="FF0000"/>
          <w:sz w:val="24"/>
        </w:rPr>
        <w:t>s alternativas acima seja</w:t>
      </w:r>
      <w:r w:rsidR="002551DC" w:rsidRPr="00284F87">
        <w:rPr>
          <w:rFonts w:ascii="Verdana" w:hAnsi="Verdana"/>
          <w:color w:val="FF0000"/>
          <w:sz w:val="24"/>
        </w:rPr>
        <w:t>(m)</w:t>
      </w:r>
      <w:r w:rsidR="00697C01" w:rsidRPr="00284F87">
        <w:rPr>
          <w:rFonts w:ascii="Verdana" w:hAnsi="Verdana"/>
          <w:color w:val="FF0000"/>
          <w:sz w:val="24"/>
        </w:rPr>
        <w:t xml:space="preserve"> viável</w:t>
      </w:r>
      <w:r w:rsidR="002551DC" w:rsidRPr="00284F87">
        <w:rPr>
          <w:rFonts w:ascii="Verdana" w:hAnsi="Verdana"/>
          <w:color w:val="FF0000"/>
          <w:sz w:val="24"/>
        </w:rPr>
        <w:t xml:space="preserve">(is) </w:t>
      </w:r>
      <w:r w:rsidR="00920290" w:rsidRPr="00284F87">
        <w:rPr>
          <w:rFonts w:ascii="Verdana" w:hAnsi="Verdana"/>
          <w:color w:val="FF0000"/>
          <w:sz w:val="24"/>
        </w:rPr>
        <w:t xml:space="preserve">e suficiente(s) </w:t>
      </w:r>
      <w:r w:rsidR="002551DC" w:rsidRPr="00284F87">
        <w:rPr>
          <w:rFonts w:ascii="Verdana" w:hAnsi="Verdana"/>
          <w:color w:val="FF0000"/>
          <w:sz w:val="24"/>
        </w:rPr>
        <w:t>para a totalidade do objeto pretendido</w:t>
      </w:r>
      <w:r w:rsidR="00697C01" w:rsidRPr="00284F87">
        <w:rPr>
          <w:rFonts w:ascii="Verdana" w:hAnsi="Verdana"/>
          <w:color w:val="FF0000"/>
          <w:sz w:val="24"/>
        </w:rPr>
        <w:t xml:space="preserve">, </w:t>
      </w:r>
      <w:r w:rsidR="00697C01" w:rsidRPr="00284F87">
        <w:rPr>
          <w:rFonts w:ascii="Verdana" w:hAnsi="Verdana"/>
          <w:b/>
          <w:color w:val="FF0000"/>
          <w:sz w:val="24"/>
        </w:rPr>
        <w:t xml:space="preserve">as </w:t>
      </w:r>
      <w:r w:rsidR="002551DC" w:rsidRPr="00284F87">
        <w:rPr>
          <w:rFonts w:ascii="Verdana" w:hAnsi="Verdana"/>
          <w:b/>
          <w:color w:val="FF0000"/>
          <w:sz w:val="24"/>
        </w:rPr>
        <w:t>recomendações a seguir não serão aplicáveis</w:t>
      </w:r>
      <w:r w:rsidR="002551DC" w:rsidRPr="00284F87">
        <w:rPr>
          <w:rFonts w:ascii="Verdana" w:hAnsi="Verdana"/>
          <w:color w:val="FF0000"/>
          <w:sz w:val="24"/>
        </w:rPr>
        <w:t>.</w:t>
      </w:r>
    </w:p>
    <w:p w14:paraId="1BD8E2A5" w14:textId="77777777" w:rsidR="00284F87" w:rsidRPr="00284F87" w:rsidRDefault="00284F87" w:rsidP="00284F87">
      <w:pPr>
        <w:pStyle w:val="SemEspaamento"/>
        <w:ind w:left="2268"/>
        <w:jc w:val="both"/>
        <w:rPr>
          <w:rFonts w:ascii="Verdana" w:hAnsi="Verdana"/>
          <w:sz w:val="24"/>
        </w:rPr>
      </w:pPr>
    </w:p>
    <w:p w14:paraId="151F28EA" w14:textId="765B7E22" w:rsidR="004F4248" w:rsidRPr="00284F87" w:rsidRDefault="002551DC" w:rsidP="00284F87">
      <w:pPr>
        <w:pStyle w:val="SemEspaamento"/>
        <w:numPr>
          <w:ilvl w:val="0"/>
          <w:numId w:val="27"/>
        </w:numPr>
        <w:ind w:left="2268" w:hanging="567"/>
        <w:jc w:val="both"/>
        <w:rPr>
          <w:rFonts w:ascii="Verdana" w:hAnsi="Verdana"/>
          <w:sz w:val="24"/>
        </w:rPr>
      </w:pPr>
      <w:r w:rsidRPr="00284F87">
        <w:rPr>
          <w:rFonts w:ascii="Verdana" w:hAnsi="Verdana"/>
          <w:color w:val="FF0000"/>
          <w:sz w:val="24"/>
        </w:rPr>
        <w:t>Na hipótese em que uma ou ambas as alternativas acima seja(m) viável(is)</w:t>
      </w:r>
      <w:r w:rsidR="001C44C9" w:rsidRPr="00284F87">
        <w:rPr>
          <w:rFonts w:ascii="Verdana" w:hAnsi="Verdana"/>
          <w:color w:val="FF0000"/>
          <w:sz w:val="24"/>
        </w:rPr>
        <w:t xml:space="preserve">, mas suficiente(s) apenas </w:t>
      </w:r>
      <w:r w:rsidRPr="00284F87">
        <w:rPr>
          <w:rFonts w:ascii="Verdana" w:hAnsi="Verdana"/>
          <w:color w:val="FF0000"/>
          <w:sz w:val="24"/>
        </w:rPr>
        <w:t>para uma parcela</w:t>
      </w:r>
      <w:r w:rsidR="00697C01" w:rsidRPr="00284F87">
        <w:rPr>
          <w:rFonts w:ascii="Verdana" w:hAnsi="Verdana"/>
          <w:color w:val="FF0000"/>
          <w:sz w:val="24"/>
        </w:rPr>
        <w:t xml:space="preserve"> </w:t>
      </w:r>
      <w:r w:rsidRPr="00284F87">
        <w:rPr>
          <w:rFonts w:ascii="Verdana" w:hAnsi="Verdana"/>
          <w:color w:val="FF0000"/>
          <w:sz w:val="24"/>
        </w:rPr>
        <w:t>do objeto pretendido</w:t>
      </w:r>
      <w:r w:rsidR="00AB09E9" w:rsidRPr="00284F87">
        <w:rPr>
          <w:rFonts w:ascii="Verdana" w:hAnsi="Verdana"/>
          <w:color w:val="FF0000"/>
          <w:sz w:val="24"/>
        </w:rPr>
        <w:t xml:space="preserve">, assim como no caso de </w:t>
      </w:r>
      <w:r w:rsidR="004F4248" w:rsidRPr="00284F87">
        <w:rPr>
          <w:rFonts w:ascii="Verdana" w:hAnsi="Verdana"/>
          <w:color w:val="FF0000"/>
          <w:sz w:val="24"/>
        </w:rPr>
        <w:t>nen</w:t>
      </w:r>
      <w:r w:rsidR="00AB09E9" w:rsidRPr="00284F87">
        <w:rPr>
          <w:rFonts w:ascii="Verdana" w:hAnsi="Verdana"/>
          <w:color w:val="FF0000"/>
          <w:sz w:val="24"/>
        </w:rPr>
        <w:t>huma das alternativas acima ser</w:t>
      </w:r>
      <w:r w:rsidR="004F4248" w:rsidRPr="00284F87">
        <w:rPr>
          <w:rFonts w:ascii="Verdana" w:hAnsi="Verdana"/>
          <w:color w:val="FF0000"/>
          <w:sz w:val="24"/>
        </w:rPr>
        <w:t xml:space="preserve"> aplicáve</w:t>
      </w:r>
      <w:r w:rsidR="00AB09E9" w:rsidRPr="00284F87">
        <w:rPr>
          <w:rFonts w:ascii="Verdana" w:hAnsi="Verdana"/>
          <w:color w:val="FF0000"/>
          <w:sz w:val="24"/>
        </w:rPr>
        <w:t>l</w:t>
      </w:r>
      <w:r w:rsidR="004F4248" w:rsidRPr="00284F87">
        <w:rPr>
          <w:rFonts w:ascii="Verdana" w:hAnsi="Verdana"/>
          <w:color w:val="FF0000"/>
          <w:sz w:val="24"/>
        </w:rPr>
        <w:t xml:space="preserve">, </w:t>
      </w:r>
      <w:r w:rsidR="004F4248" w:rsidRPr="00284F87">
        <w:rPr>
          <w:rFonts w:ascii="Verdana" w:hAnsi="Verdana"/>
          <w:b/>
          <w:color w:val="FF0000"/>
          <w:sz w:val="24"/>
        </w:rPr>
        <w:t>escolher uma das formas abaixo</w:t>
      </w:r>
      <w:r w:rsidR="00AB09E9" w:rsidRPr="00284F87">
        <w:rPr>
          <w:rFonts w:ascii="Verdana" w:hAnsi="Verdana"/>
          <w:b/>
          <w:color w:val="FF0000"/>
          <w:sz w:val="24"/>
        </w:rPr>
        <w:t xml:space="preserve"> para a contratação da parcela remanescente ou da totalidade do objeto</w:t>
      </w:r>
      <w:r w:rsidR="004F4248" w:rsidRPr="00284F87">
        <w:rPr>
          <w:rFonts w:ascii="Verdana" w:hAnsi="Verdana"/>
          <w:color w:val="FF0000"/>
          <w:sz w:val="24"/>
        </w:rPr>
        <w:t>:</w:t>
      </w:r>
    </w:p>
    <w:p w14:paraId="151F28EB" w14:textId="77777777" w:rsidR="004F4248" w:rsidRPr="00F23EB8" w:rsidRDefault="004F4248" w:rsidP="004F4248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151F28EC" w14:textId="6FC44348" w:rsidR="006D3EBA" w:rsidRPr="00F23EB8" w:rsidRDefault="00CC41A7" w:rsidP="006D3EBA">
      <w:pPr>
        <w:pStyle w:val="SemEspaamento"/>
        <w:numPr>
          <w:ilvl w:val="2"/>
          <w:numId w:val="16"/>
        </w:numPr>
        <w:tabs>
          <w:tab w:val="left" w:pos="1701"/>
        </w:tabs>
        <w:ind w:left="1701" w:hanging="567"/>
        <w:jc w:val="both"/>
        <w:rPr>
          <w:rFonts w:ascii="Verdana" w:hAnsi="Verdana"/>
          <w:sz w:val="24"/>
        </w:rPr>
      </w:pPr>
      <w:r w:rsidRPr="001C44C9">
        <w:rPr>
          <w:rFonts w:ascii="Verdana" w:hAnsi="Verdana"/>
          <w:b/>
          <w:bCs/>
          <w:sz w:val="24"/>
        </w:rPr>
        <w:t>Compra</w:t>
      </w:r>
      <w:r w:rsidR="00B958AF" w:rsidRPr="001C44C9">
        <w:rPr>
          <w:rFonts w:ascii="Verdana" w:hAnsi="Verdana"/>
          <w:b/>
          <w:bCs/>
          <w:sz w:val="24"/>
        </w:rPr>
        <w:t xml:space="preserve"> Eletrônica – CEL</w:t>
      </w:r>
      <w:r w:rsidRPr="00F23EB8">
        <w:rPr>
          <w:rFonts w:ascii="Verdana" w:hAnsi="Verdana"/>
          <w:sz w:val="24"/>
        </w:rPr>
        <w:t xml:space="preserve"> (caso haja cotação ou, pelo menos, convicção de que o valor não ultrapassará </w:t>
      </w:r>
      <w:r w:rsidR="001C44C9">
        <w:rPr>
          <w:rFonts w:ascii="Verdana" w:hAnsi="Verdana"/>
          <w:sz w:val="24"/>
        </w:rPr>
        <w:t xml:space="preserve">o </w:t>
      </w:r>
      <w:r w:rsidR="00E845EC">
        <w:rPr>
          <w:rFonts w:ascii="Verdana" w:hAnsi="Verdana"/>
          <w:sz w:val="24"/>
        </w:rPr>
        <w:t xml:space="preserve">limite de </w:t>
      </w:r>
      <w:r w:rsidR="00E845EC" w:rsidRPr="00E845EC">
        <w:rPr>
          <w:rFonts w:ascii="Verdana" w:hAnsi="Verdana"/>
          <w:b/>
          <w:bCs/>
          <w:sz w:val="24"/>
        </w:rPr>
        <w:t>R$ 17.600,00</w:t>
      </w:r>
      <w:r w:rsidR="00B958AF" w:rsidRPr="00F23EB8">
        <w:rPr>
          <w:rFonts w:ascii="Verdana" w:hAnsi="Verdana"/>
          <w:sz w:val="24"/>
        </w:rPr>
        <w:t>, nos termos do artigo 24, inciso II, c/c o artigo 23, inciso II, alínea “a”, da Lei Federal n.º 8.666, de 21 de junho de 1993, e do Decreto Estadual n.º 25.046, de 02 de junho de 2005</w:t>
      </w:r>
      <w:r w:rsidRPr="00F23EB8">
        <w:rPr>
          <w:rFonts w:ascii="Verdana" w:hAnsi="Verdana"/>
          <w:sz w:val="24"/>
        </w:rPr>
        <w:t>);</w:t>
      </w:r>
    </w:p>
    <w:p w14:paraId="151F28ED" w14:textId="77777777" w:rsidR="006D3EBA" w:rsidRPr="00F23EB8" w:rsidRDefault="006D3EBA" w:rsidP="006D3EBA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151F28EE" w14:textId="144847AF" w:rsidR="006D3EBA" w:rsidRPr="00F23EB8" w:rsidRDefault="00CC41A7" w:rsidP="006D3EBA">
      <w:pPr>
        <w:pStyle w:val="SemEspaamento"/>
        <w:numPr>
          <w:ilvl w:val="2"/>
          <w:numId w:val="16"/>
        </w:numPr>
        <w:tabs>
          <w:tab w:val="left" w:pos="1701"/>
        </w:tabs>
        <w:ind w:left="1701" w:hanging="567"/>
        <w:jc w:val="both"/>
        <w:rPr>
          <w:rFonts w:ascii="Verdana" w:hAnsi="Verdana"/>
          <w:sz w:val="24"/>
        </w:rPr>
      </w:pPr>
      <w:r w:rsidRPr="00E845EC">
        <w:rPr>
          <w:rFonts w:ascii="Verdana" w:hAnsi="Verdana"/>
          <w:b/>
          <w:bCs/>
          <w:sz w:val="24"/>
        </w:rPr>
        <w:lastRenderedPageBreak/>
        <w:t>Licitação</w:t>
      </w:r>
      <w:r w:rsidRPr="00F23EB8">
        <w:rPr>
          <w:rFonts w:ascii="Verdana" w:hAnsi="Verdana"/>
          <w:sz w:val="24"/>
        </w:rPr>
        <w:t xml:space="preserve"> mediante pregão eletrônico, </w:t>
      </w:r>
      <w:r w:rsidRPr="00E845EC">
        <w:rPr>
          <w:rFonts w:ascii="Verdana" w:hAnsi="Verdana"/>
          <w:b/>
          <w:bCs/>
          <w:sz w:val="24"/>
        </w:rPr>
        <w:t>concorrência</w:t>
      </w:r>
      <w:r w:rsidR="006D3EBA" w:rsidRPr="00F23EB8">
        <w:rPr>
          <w:rFonts w:ascii="Verdana" w:hAnsi="Verdana"/>
          <w:sz w:val="24"/>
        </w:rPr>
        <w:t xml:space="preserve"> </w:t>
      </w:r>
      <w:r w:rsidR="00A47CCB" w:rsidRPr="00F23EB8">
        <w:rPr>
          <w:rFonts w:ascii="Verdana" w:hAnsi="Verdana"/>
          <w:sz w:val="24"/>
        </w:rPr>
        <w:t>(art. 23, I, “b” e “c” da Lei de Licitações)</w:t>
      </w:r>
      <w:r w:rsidR="00491F6C">
        <w:rPr>
          <w:rFonts w:ascii="Verdana" w:hAnsi="Verdana"/>
          <w:sz w:val="24"/>
        </w:rPr>
        <w:t>,</w:t>
      </w:r>
      <w:r w:rsidRPr="00F23EB8">
        <w:rPr>
          <w:rFonts w:ascii="Verdana" w:hAnsi="Verdana"/>
          <w:sz w:val="24"/>
        </w:rPr>
        <w:t xml:space="preserve"> </w:t>
      </w:r>
      <w:r w:rsidRPr="00AF384A">
        <w:rPr>
          <w:rFonts w:ascii="Verdana" w:hAnsi="Verdana"/>
          <w:b/>
          <w:bCs/>
          <w:sz w:val="24"/>
        </w:rPr>
        <w:t>tomada de preços</w:t>
      </w:r>
      <w:r w:rsidR="00A47CCB" w:rsidRPr="00F23EB8">
        <w:rPr>
          <w:rFonts w:ascii="Verdana" w:hAnsi="Verdana"/>
          <w:sz w:val="24"/>
        </w:rPr>
        <w:t xml:space="preserve"> (art. 23, II, </w:t>
      </w:r>
      <w:r w:rsidR="001A5CBB" w:rsidRPr="00F23EB8">
        <w:rPr>
          <w:rFonts w:ascii="Verdana" w:hAnsi="Verdana"/>
          <w:sz w:val="24"/>
        </w:rPr>
        <w:t>“b” e “c” da Lei de Licitações)</w:t>
      </w:r>
      <w:r w:rsidR="00422492">
        <w:rPr>
          <w:rFonts w:ascii="Verdana" w:hAnsi="Verdana"/>
          <w:sz w:val="24"/>
        </w:rPr>
        <w:t xml:space="preserve"> ou </w:t>
      </w:r>
      <w:r w:rsidR="00422492">
        <w:rPr>
          <w:rFonts w:ascii="Verdana" w:hAnsi="Verdana"/>
          <w:b/>
          <w:bCs/>
          <w:sz w:val="24"/>
        </w:rPr>
        <w:t xml:space="preserve">concurso </w:t>
      </w:r>
      <w:r w:rsidR="00422492">
        <w:rPr>
          <w:rFonts w:ascii="Verdana" w:hAnsi="Verdana"/>
          <w:sz w:val="24"/>
        </w:rPr>
        <w:t>(art. 22</w:t>
      </w:r>
      <w:r w:rsidR="00826254">
        <w:rPr>
          <w:rFonts w:ascii="Verdana" w:hAnsi="Verdana"/>
          <w:sz w:val="24"/>
        </w:rPr>
        <w:t>, §4º, da Lei de Licitações)</w:t>
      </w:r>
      <w:r w:rsidR="006D3EBA" w:rsidRPr="00F23EB8">
        <w:rPr>
          <w:rFonts w:ascii="Verdana" w:hAnsi="Verdana"/>
          <w:sz w:val="24"/>
        </w:rPr>
        <w:t>;</w:t>
      </w:r>
    </w:p>
    <w:p w14:paraId="151F28EF" w14:textId="77777777" w:rsidR="006D3EBA" w:rsidRPr="00F23EB8" w:rsidRDefault="006D3EBA" w:rsidP="006D3EBA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151F28F0" w14:textId="77777777" w:rsidR="00A47CCB" w:rsidRDefault="00245C06" w:rsidP="00A47CCB">
      <w:pPr>
        <w:pStyle w:val="SemEspaamento"/>
        <w:numPr>
          <w:ilvl w:val="2"/>
          <w:numId w:val="16"/>
        </w:numPr>
        <w:tabs>
          <w:tab w:val="left" w:pos="1701"/>
        </w:tabs>
        <w:ind w:left="1701" w:hanging="567"/>
        <w:jc w:val="both"/>
        <w:rPr>
          <w:rFonts w:ascii="Verdana" w:hAnsi="Verdana"/>
          <w:sz w:val="24"/>
        </w:rPr>
      </w:pPr>
      <w:r w:rsidRPr="00AF384A">
        <w:rPr>
          <w:rFonts w:ascii="Verdana" w:hAnsi="Verdana"/>
          <w:b/>
          <w:bCs/>
          <w:sz w:val="24"/>
        </w:rPr>
        <w:t xml:space="preserve">Registro de </w:t>
      </w:r>
      <w:r w:rsidR="00A47CCB" w:rsidRPr="00AF384A">
        <w:rPr>
          <w:rFonts w:ascii="Verdana" w:hAnsi="Verdana"/>
          <w:b/>
          <w:bCs/>
          <w:sz w:val="24"/>
        </w:rPr>
        <w:t xml:space="preserve">Dispensa </w:t>
      </w:r>
      <w:r w:rsidRPr="00AF384A">
        <w:rPr>
          <w:rFonts w:ascii="Verdana" w:hAnsi="Verdana"/>
          <w:b/>
          <w:bCs/>
          <w:sz w:val="24"/>
        </w:rPr>
        <w:t xml:space="preserve">de </w:t>
      </w:r>
      <w:r w:rsidR="00A47CCB" w:rsidRPr="00AF384A">
        <w:rPr>
          <w:rFonts w:ascii="Verdana" w:hAnsi="Verdana"/>
          <w:b/>
          <w:bCs/>
          <w:sz w:val="24"/>
        </w:rPr>
        <w:t>Licitação – RDL</w:t>
      </w:r>
      <w:r w:rsidR="00A47CCB" w:rsidRPr="00F23EB8">
        <w:rPr>
          <w:rFonts w:ascii="Verdana" w:hAnsi="Verdana"/>
          <w:sz w:val="24"/>
        </w:rPr>
        <w:t xml:space="preserve"> </w:t>
      </w:r>
      <w:r w:rsidRPr="00F23EB8">
        <w:rPr>
          <w:rFonts w:ascii="Verdana" w:hAnsi="Verdana"/>
          <w:sz w:val="24"/>
        </w:rPr>
        <w:t>(informar o inciso do artigo 24 da Lei de Licitações que contenha a hipótese</w:t>
      </w:r>
      <w:r w:rsidR="00A47CCB" w:rsidRPr="00F23EB8">
        <w:rPr>
          <w:rFonts w:ascii="Verdana" w:hAnsi="Verdana"/>
          <w:sz w:val="24"/>
        </w:rPr>
        <w:t xml:space="preserve"> apta a justificar o RDL pretendido);</w:t>
      </w:r>
    </w:p>
    <w:p w14:paraId="151F28F1" w14:textId="77777777" w:rsidR="00A47CCB" w:rsidRDefault="00A47CCB" w:rsidP="00A47CCB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7D4827FF" w14:textId="30E8AF1B" w:rsidR="00235EA3" w:rsidRPr="00EC450B" w:rsidRDefault="00235EA3" w:rsidP="00235EA3">
      <w:pPr>
        <w:pStyle w:val="SemEspaamento"/>
        <w:numPr>
          <w:ilvl w:val="0"/>
          <w:numId w:val="41"/>
        </w:numPr>
        <w:ind w:left="1701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 xml:space="preserve">Em caso de </w:t>
      </w:r>
      <w:r w:rsidR="008E511B">
        <w:rPr>
          <w:rFonts w:ascii="Verdana" w:hAnsi="Verdana"/>
          <w:color w:val="FF0000"/>
          <w:sz w:val="24"/>
        </w:rPr>
        <w:t>contratação</w:t>
      </w:r>
      <w:r>
        <w:rPr>
          <w:rFonts w:ascii="Verdana" w:hAnsi="Verdana"/>
          <w:color w:val="FF0000"/>
          <w:sz w:val="24"/>
        </w:rPr>
        <w:t xml:space="preserve"> emergencial, a fundamentação correta é aquela do inciso IV e exige justificativa apta a demonstrar a emergência do problema que se pretende solucionar, a urgência com que se precisa dar a solução escolhida, bem como a impossibilidade do planejamento prévio e da adoção do pregão eletrônico como forma de seleção da empresa fornecedora.</w:t>
      </w:r>
    </w:p>
    <w:p w14:paraId="475404C7" w14:textId="77777777" w:rsidR="00235EA3" w:rsidRPr="00F23EB8" w:rsidRDefault="00235EA3" w:rsidP="00A47CCB">
      <w:pPr>
        <w:pStyle w:val="SemEspaamento"/>
        <w:tabs>
          <w:tab w:val="left" w:pos="1701"/>
        </w:tabs>
        <w:ind w:left="1701"/>
        <w:jc w:val="both"/>
        <w:rPr>
          <w:rFonts w:ascii="Verdana" w:hAnsi="Verdana"/>
          <w:sz w:val="24"/>
        </w:rPr>
      </w:pPr>
    </w:p>
    <w:p w14:paraId="151F28F2" w14:textId="77777777" w:rsidR="006D3EBA" w:rsidRPr="00F23EB8" w:rsidRDefault="00A47CCB" w:rsidP="00A47CCB">
      <w:pPr>
        <w:pStyle w:val="SemEspaamento"/>
        <w:numPr>
          <w:ilvl w:val="2"/>
          <w:numId w:val="16"/>
        </w:numPr>
        <w:tabs>
          <w:tab w:val="left" w:pos="1701"/>
        </w:tabs>
        <w:ind w:left="1701" w:hanging="567"/>
        <w:jc w:val="both"/>
        <w:rPr>
          <w:rFonts w:ascii="Verdana" w:hAnsi="Verdana"/>
          <w:sz w:val="24"/>
        </w:rPr>
      </w:pPr>
      <w:r w:rsidRPr="00AF384A">
        <w:rPr>
          <w:rFonts w:ascii="Verdana" w:hAnsi="Verdana"/>
          <w:b/>
          <w:bCs/>
          <w:sz w:val="24"/>
        </w:rPr>
        <w:t>Inexigibilidade de licitação – INEX</w:t>
      </w:r>
      <w:r w:rsidRPr="00F23EB8">
        <w:rPr>
          <w:rFonts w:ascii="Verdana" w:hAnsi="Verdana"/>
          <w:sz w:val="24"/>
        </w:rPr>
        <w:t xml:space="preserve"> (informar o inciso do artigo 25 da Lei de Licitações que contenha a hipótese apta a justificar a INEX pretendida); </w:t>
      </w:r>
      <w:r w:rsidR="00245C06" w:rsidRPr="00F23EB8">
        <w:rPr>
          <w:rFonts w:ascii="Verdana" w:hAnsi="Verdana"/>
          <w:sz w:val="24"/>
        </w:rPr>
        <w:t xml:space="preserve"> </w:t>
      </w:r>
    </w:p>
    <w:p w14:paraId="151F28F3" w14:textId="77777777" w:rsidR="008374E1" w:rsidRPr="00F23EB8" w:rsidRDefault="008374E1" w:rsidP="008374E1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04350DEB" w14:textId="77777777" w:rsidR="00284F87" w:rsidRDefault="001A5CBB" w:rsidP="00E64132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 xml:space="preserve">Qual </w:t>
      </w:r>
      <w:r w:rsidR="0048434C" w:rsidRPr="00F23EB8">
        <w:rPr>
          <w:rFonts w:ascii="Verdana" w:hAnsi="Verdana"/>
          <w:sz w:val="24"/>
        </w:rPr>
        <w:t xml:space="preserve">é </w:t>
      </w:r>
      <w:r w:rsidRPr="00F23EB8">
        <w:rPr>
          <w:rFonts w:ascii="Verdana" w:hAnsi="Verdana"/>
          <w:sz w:val="24"/>
        </w:rPr>
        <w:t>a justificativa da contratação pretendida</w:t>
      </w:r>
      <w:r w:rsidR="00764300" w:rsidRPr="00F23EB8">
        <w:rPr>
          <w:rFonts w:ascii="Verdana" w:hAnsi="Verdana"/>
          <w:sz w:val="24"/>
        </w:rPr>
        <w:t>?</w:t>
      </w:r>
    </w:p>
    <w:p w14:paraId="417AE58F" w14:textId="77777777" w:rsidR="00284F87" w:rsidRDefault="00284F87" w:rsidP="00284F87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8F4" w14:textId="026395EA" w:rsidR="001A5CBB" w:rsidRPr="00EC450B" w:rsidRDefault="00764300" w:rsidP="00284F87">
      <w:pPr>
        <w:pStyle w:val="SemEspaamento"/>
        <w:numPr>
          <w:ilvl w:val="0"/>
          <w:numId w:val="28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color w:val="FF0000"/>
          <w:sz w:val="24"/>
        </w:rPr>
        <w:t>E</w:t>
      </w:r>
      <w:r w:rsidR="0048434C" w:rsidRPr="00F23EB8">
        <w:rPr>
          <w:rFonts w:ascii="Verdana" w:hAnsi="Verdana"/>
          <w:color w:val="FF0000"/>
          <w:sz w:val="24"/>
        </w:rPr>
        <w:t xml:space="preserve">numerar os </w:t>
      </w:r>
      <w:r w:rsidR="0048434C" w:rsidRPr="00284F87">
        <w:rPr>
          <w:rFonts w:ascii="Verdana" w:hAnsi="Verdana"/>
          <w:b/>
          <w:color w:val="FF0000"/>
          <w:sz w:val="24"/>
        </w:rPr>
        <w:t>motivos</w:t>
      </w:r>
      <w:r w:rsidR="001A5CBB" w:rsidRPr="00284F87">
        <w:rPr>
          <w:rFonts w:ascii="Verdana" w:hAnsi="Verdana"/>
          <w:b/>
          <w:color w:val="FF0000"/>
          <w:sz w:val="24"/>
        </w:rPr>
        <w:t xml:space="preserve"> de fato</w:t>
      </w:r>
      <w:r w:rsidR="0048434C" w:rsidRPr="00F23EB8">
        <w:rPr>
          <w:rFonts w:ascii="Verdana" w:hAnsi="Verdana"/>
          <w:color w:val="FF0000"/>
          <w:sz w:val="24"/>
        </w:rPr>
        <w:t xml:space="preserve"> e eventuais </w:t>
      </w:r>
      <w:r w:rsidR="0048434C" w:rsidRPr="00284F87">
        <w:rPr>
          <w:rFonts w:ascii="Verdana" w:hAnsi="Verdana"/>
          <w:b/>
          <w:color w:val="FF0000"/>
          <w:sz w:val="24"/>
        </w:rPr>
        <w:t>imposições legislativa ou judicial</w:t>
      </w:r>
      <w:r w:rsidR="0048434C" w:rsidRPr="00F23EB8">
        <w:rPr>
          <w:rFonts w:ascii="Verdana" w:hAnsi="Verdana"/>
          <w:color w:val="FF0000"/>
          <w:sz w:val="24"/>
        </w:rPr>
        <w:t xml:space="preserve"> subjacentes à contratação pretendida</w:t>
      </w:r>
      <w:r w:rsidR="001A5CBB" w:rsidRPr="00F23EB8">
        <w:rPr>
          <w:rFonts w:ascii="Verdana" w:hAnsi="Verdana"/>
          <w:color w:val="FF0000"/>
          <w:sz w:val="24"/>
        </w:rPr>
        <w:t>;</w:t>
      </w:r>
      <w:r w:rsidR="0048434C" w:rsidRPr="00F23EB8">
        <w:rPr>
          <w:rFonts w:ascii="Verdana" w:hAnsi="Verdana"/>
          <w:color w:val="FF0000"/>
          <w:sz w:val="24"/>
        </w:rPr>
        <w:t xml:space="preserve"> demonstrar o cabimento </w:t>
      </w:r>
      <w:r w:rsidR="001A5CBB" w:rsidRPr="00F23EB8">
        <w:rPr>
          <w:rFonts w:ascii="Verdana" w:hAnsi="Verdana"/>
          <w:color w:val="FF0000"/>
          <w:sz w:val="24"/>
        </w:rPr>
        <w:t xml:space="preserve">do RDL ou da INEX, </w:t>
      </w:r>
      <w:r w:rsidRPr="00F23EB8">
        <w:rPr>
          <w:rFonts w:ascii="Verdana" w:hAnsi="Verdana"/>
          <w:color w:val="FF0000"/>
          <w:sz w:val="24"/>
        </w:rPr>
        <w:t>se</w:t>
      </w:r>
      <w:r w:rsidR="001A5CBB" w:rsidRPr="00F23EB8">
        <w:rPr>
          <w:rFonts w:ascii="Verdana" w:hAnsi="Verdana"/>
          <w:color w:val="FF0000"/>
          <w:sz w:val="24"/>
        </w:rPr>
        <w:t xml:space="preserve"> for o caso; </w:t>
      </w:r>
      <w:r w:rsidR="0048434C" w:rsidRPr="00F23EB8">
        <w:rPr>
          <w:rFonts w:ascii="Verdana" w:hAnsi="Verdana"/>
          <w:color w:val="FF0000"/>
          <w:sz w:val="24"/>
        </w:rPr>
        <w:t xml:space="preserve">demonstrar que não se está fazendo fracionamento </w:t>
      </w:r>
      <w:r w:rsidR="00CD7385">
        <w:rPr>
          <w:rFonts w:ascii="Verdana" w:hAnsi="Verdana"/>
          <w:color w:val="FF0000"/>
          <w:sz w:val="24"/>
        </w:rPr>
        <w:t xml:space="preserve">da despesa com </w:t>
      </w:r>
      <w:r w:rsidR="0048434C" w:rsidRPr="00F23EB8">
        <w:rPr>
          <w:rFonts w:ascii="Verdana" w:hAnsi="Verdana"/>
          <w:color w:val="FF0000"/>
          <w:sz w:val="24"/>
        </w:rPr>
        <w:t xml:space="preserve">o objeto e, </w:t>
      </w:r>
      <w:r w:rsidR="00CD7385" w:rsidRPr="00CD7385">
        <w:rPr>
          <w:rFonts w:ascii="Verdana" w:hAnsi="Verdana"/>
          <w:color w:val="FF0000"/>
          <w:sz w:val="24"/>
        </w:rPr>
        <w:t>caso essa seja a intenção (evitar o procedimento licitatório), justificar</w:t>
      </w:r>
      <w:r w:rsidR="0048434C" w:rsidRPr="00F23EB8">
        <w:rPr>
          <w:rFonts w:ascii="Verdana" w:hAnsi="Verdana"/>
          <w:color w:val="FF0000"/>
          <w:sz w:val="24"/>
        </w:rPr>
        <w:t xml:space="preserve">; </w:t>
      </w:r>
      <w:r w:rsidR="00CD7385">
        <w:rPr>
          <w:rFonts w:ascii="Verdana" w:hAnsi="Verdana"/>
          <w:color w:val="FF0000"/>
          <w:sz w:val="24"/>
        </w:rPr>
        <w:t xml:space="preserve">por fim, listar os </w:t>
      </w:r>
      <w:r w:rsidR="001A5CBB" w:rsidRPr="00F23EB8">
        <w:rPr>
          <w:rFonts w:ascii="Verdana" w:hAnsi="Verdana"/>
          <w:color w:val="FF0000"/>
          <w:sz w:val="24"/>
        </w:rPr>
        <w:t>objetivos pretendidos</w:t>
      </w:r>
      <w:r w:rsidRPr="00F23EB8">
        <w:rPr>
          <w:rFonts w:ascii="Verdana" w:hAnsi="Verdana"/>
          <w:color w:val="FF0000"/>
          <w:sz w:val="24"/>
        </w:rPr>
        <w:t>;</w:t>
      </w:r>
    </w:p>
    <w:p w14:paraId="151F28F5" w14:textId="77777777" w:rsidR="00EC450B" w:rsidRDefault="00EC450B" w:rsidP="00EC450B">
      <w:pPr>
        <w:pStyle w:val="SemEspaamento"/>
        <w:ind w:left="1134"/>
        <w:jc w:val="both"/>
        <w:rPr>
          <w:rFonts w:ascii="Verdana" w:hAnsi="Verdana"/>
          <w:color w:val="FF0000"/>
          <w:sz w:val="24"/>
        </w:rPr>
      </w:pPr>
    </w:p>
    <w:p w14:paraId="151F28F6" w14:textId="2EE0500B" w:rsidR="008636F6" w:rsidRPr="00EC450B" w:rsidRDefault="008636F6" w:rsidP="00EC450B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EC450B">
        <w:rPr>
          <w:rFonts w:ascii="Verdana" w:hAnsi="Verdana"/>
          <w:sz w:val="24"/>
        </w:rPr>
        <w:t>Descrição da solução</w:t>
      </w:r>
      <w:r w:rsidR="00CD7385">
        <w:rPr>
          <w:rFonts w:ascii="Verdana" w:hAnsi="Verdana"/>
          <w:sz w:val="24"/>
        </w:rPr>
        <w:t>/</w:t>
      </w:r>
      <w:r w:rsidR="005C44A8" w:rsidRPr="00EC450B">
        <w:rPr>
          <w:rFonts w:ascii="Verdana" w:hAnsi="Verdana"/>
          <w:sz w:val="24"/>
        </w:rPr>
        <w:t>materiais a serem disponibilizados</w:t>
      </w:r>
      <w:r w:rsidR="00CD7385">
        <w:rPr>
          <w:rFonts w:ascii="Verdana" w:hAnsi="Verdana"/>
          <w:sz w:val="24"/>
        </w:rPr>
        <w:t>/</w:t>
      </w:r>
      <w:r w:rsidR="00D33669" w:rsidRPr="00EC450B">
        <w:rPr>
          <w:rFonts w:ascii="Verdana" w:hAnsi="Verdana"/>
          <w:sz w:val="24"/>
        </w:rPr>
        <w:t>parcelamento da solução</w:t>
      </w:r>
      <w:r w:rsidR="00CD7385">
        <w:rPr>
          <w:rFonts w:ascii="Verdana" w:hAnsi="Verdana"/>
          <w:sz w:val="24"/>
        </w:rPr>
        <w:t>/</w:t>
      </w:r>
      <w:r w:rsidR="00D33669" w:rsidRPr="00EC450B">
        <w:rPr>
          <w:rFonts w:ascii="Verdana" w:hAnsi="Verdana"/>
          <w:sz w:val="24"/>
        </w:rPr>
        <w:t>ID</w:t>
      </w:r>
      <w:r w:rsidR="00CD7385">
        <w:rPr>
          <w:rFonts w:ascii="Verdana" w:hAnsi="Verdana"/>
          <w:sz w:val="24"/>
        </w:rPr>
        <w:t>/</w:t>
      </w:r>
      <w:r w:rsidR="008D1980" w:rsidRPr="00EC450B">
        <w:rPr>
          <w:rFonts w:ascii="Verdana" w:hAnsi="Verdana"/>
          <w:sz w:val="24"/>
        </w:rPr>
        <w:t>regime de execução</w:t>
      </w:r>
      <w:r w:rsidR="00CD7385">
        <w:rPr>
          <w:rFonts w:ascii="Verdana" w:hAnsi="Verdana"/>
          <w:sz w:val="24"/>
        </w:rPr>
        <w:t>/s</w:t>
      </w:r>
      <w:r w:rsidR="00EC450B">
        <w:rPr>
          <w:rFonts w:ascii="Verdana" w:hAnsi="Verdana"/>
          <w:sz w:val="24"/>
        </w:rPr>
        <w:t>ubcontratação</w:t>
      </w:r>
      <w:r w:rsidR="00CD7385">
        <w:rPr>
          <w:rFonts w:ascii="Verdana" w:hAnsi="Verdana"/>
          <w:sz w:val="24"/>
        </w:rPr>
        <w:t>/</w:t>
      </w:r>
      <w:r w:rsidR="00670BFC" w:rsidRPr="00EC450B">
        <w:rPr>
          <w:rFonts w:ascii="Verdana" w:hAnsi="Verdana"/>
          <w:sz w:val="24"/>
        </w:rPr>
        <w:t>visita técnic</w:t>
      </w:r>
      <w:r w:rsidR="00CD7385">
        <w:rPr>
          <w:rFonts w:ascii="Verdana" w:hAnsi="Verdana"/>
          <w:sz w:val="24"/>
        </w:rPr>
        <w:t>a/</w:t>
      </w:r>
      <w:r w:rsidR="00EC450B">
        <w:rPr>
          <w:rFonts w:ascii="Verdana" w:hAnsi="Verdana"/>
          <w:sz w:val="24"/>
        </w:rPr>
        <w:t xml:space="preserve"> v</w:t>
      </w:r>
      <w:r w:rsidR="00EB72A3" w:rsidRPr="00EC450B">
        <w:rPr>
          <w:rFonts w:ascii="Verdana" w:hAnsi="Verdana"/>
          <w:sz w:val="24"/>
        </w:rPr>
        <w:t>istoria</w:t>
      </w:r>
      <w:r w:rsidR="00EC450B">
        <w:rPr>
          <w:rFonts w:ascii="Verdana" w:hAnsi="Verdana"/>
          <w:sz w:val="24"/>
        </w:rPr>
        <w:t>:</w:t>
      </w:r>
    </w:p>
    <w:p w14:paraId="151F28F7" w14:textId="77777777" w:rsidR="008636F6" w:rsidRPr="00F23EB8" w:rsidRDefault="008636F6" w:rsidP="008636F6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509B2109" w14:textId="77777777" w:rsidR="00284F87" w:rsidRPr="00284F87" w:rsidRDefault="00261E77" w:rsidP="008636F6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color w:val="FF0000"/>
          <w:sz w:val="24"/>
        </w:rPr>
      </w:pPr>
      <w:r w:rsidRPr="00F23EB8">
        <w:rPr>
          <w:rFonts w:ascii="Verdana" w:hAnsi="Verdana"/>
          <w:sz w:val="24"/>
        </w:rPr>
        <w:t xml:space="preserve">Em quantas e quais etapas </w:t>
      </w:r>
      <w:r w:rsidR="008636F6" w:rsidRPr="00F23EB8">
        <w:rPr>
          <w:rFonts w:ascii="Verdana" w:hAnsi="Verdana"/>
          <w:sz w:val="24"/>
        </w:rPr>
        <w:t>indispensáveis poderia ser resumida a execução do</w:t>
      </w:r>
      <w:r w:rsidRPr="00F23EB8">
        <w:rPr>
          <w:rFonts w:ascii="Verdana" w:hAnsi="Verdana"/>
          <w:sz w:val="24"/>
        </w:rPr>
        <w:t xml:space="preserve"> </w:t>
      </w:r>
      <w:r w:rsidR="00284F87">
        <w:rPr>
          <w:rFonts w:ascii="Verdana" w:hAnsi="Verdana"/>
          <w:sz w:val="24"/>
        </w:rPr>
        <w:t>contrato?</w:t>
      </w:r>
    </w:p>
    <w:p w14:paraId="7E0ED025" w14:textId="77777777" w:rsidR="00284F87" w:rsidRDefault="00284F87" w:rsidP="00284F87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2A64C92" w14:textId="77777777" w:rsidR="003E24F6" w:rsidRDefault="00F62EB6" w:rsidP="003E24F6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F23EB8">
        <w:rPr>
          <w:rFonts w:ascii="Verdana" w:hAnsi="Verdana"/>
          <w:color w:val="FF0000"/>
          <w:sz w:val="24"/>
        </w:rPr>
        <w:t>Descrever cada uma</w:t>
      </w:r>
      <w:r w:rsidR="00930ACA">
        <w:rPr>
          <w:rFonts w:ascii="Verdana" w:hAnsi="Verdana"/>
          <w:color w:val="FF0000"/>
          <w:sz w:val="24"/>
        </w:rPr>
        <w:t xml:space="preserve"> e a respectiva</w:t>
      </w:r>
      <w:r w:rsidRPr="00F23EB8">
        <w:rPr>
          <w:rFonts w:ascii="Verdana" w:hAnsi="Verdana"/>
          <w:color w:val="FF0000"/>
          <w:sz w:val="24"/>
        </w:rPr>
        <w:t xml:space="preserve"> finalidade.</w:t>
      </w:r>
    </w:p>
    <w:p w14:paraId="3667745C" w14:textId="77777777" w:rsidR="003E24F6" w:rsidRDefault="003E24F6" w:rsidP="003E24F6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56E04AD7" w14:textId="494AE62F" w:rsidR="00636E0C" w:rsidRDefault="00930ACA" w:rsidP="00636E0C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3E24F6">
        <w:rPr>
          <w:rFonts w:ascii="Verdana" w:hAnsi="Verdana"/>
          <w:color w:val="FF0000"/>
          <w:sz w:val="24"/>
        </w:rPr>
        <w:t xml:space="preserve">Tratam-se, tais etapas, de procedimentos essenciais à prestação do serviço, tais quais: </w:t>
      </w:r>
    </w:p>
    <w:p w14:paraId="31C5A237" w14:textId="77777777" w:rsidR="00CB7971" w:rsidRDefault="00CB7971" w:rsidP="00CB7971">
      <w:pPr>
        <w:pStyle w:val="SemEspaamento"/>
        <w:ind w:left="2835"/>
        <w:jc w:val="both"/>
        <w:rPr>
          <w:rFonts w:ascii="Verdana" w:hAnsi="Verdana"/>
          <w:color w:val="FF0000"/>
          <w:sz w:val="24"/>
        </w:rPr>
      </w:pPr>
    </w:p>
    <w:p w14:paraId="21829F47" w14:textId="67F66FC6" w:rsidR="00636E0C" w:rsidRPr="00636E0C" w:rsidRDefault="00636E0C" w:rsidP="00636E0C">
      <w:pPr>
        <w:pStyle w:val="SemEspaamento"/>
        <w:numPr>
          <w:ilvl w:val="0"/>
          <w:numId w:val="43"/>
        </w:numPr>
        <w:ind w:left="2835" w:hanging="141"/>
        <w:jc w:val="both"/>
        <w:rPr>
          <w:rFonts w:ascii="Verdana" w:hAnsi="Verdana"/>
          <w:color w:val="FF0000"/>
          <w:sz w:val="24"/>
        </w:rPr>
      </w:pPr>
      <w:proofErr w:type="gramStart"/>
      <w:r>
        <w:rPr>
          <w:rFonts w:ascii="Verdana" w:hAnsi="Verdana"/>
          <w:color w:val="FF0000"/>
          <w:sz w:val="24"/>
        </w:rPr>
        <w:t>horário</w:t>
      </w:r>
      <w:proofErr w:type="gramEnd"/>
      <w:r>
        <w:rPr>
          <w:rFonts w:ascii="Verdana" w:hAnsi="Verdana"/>
          <w:color w:val="FF0000"/>
          <w:sz w:val="24"/>
        </w:rPr>
        <w:t xml:space="preserve"> de chegada e de </w:t>
      </w:r>
      <w:r w:rsidRPr="00636E0C">
        <w:rPr>
          <w:rFonts w:ascii="Verdana" w:hAnsi="Verdana"/>
          <w:color w:val="FF0000"/>
          <w:sz w:val="24"/>
        </w:rPr>
        <w:t>saída</w:t>
      </w:r>
      <w:r>
        <w:rPr>
          <w:rFonts w:ascii="Verdana" w:hAnsi="Verdana"/>
          <w:color w:val="FF0000"/>
          <w:sz w:val="24"/>
        </w:rPr>
        <w:t xml:space="preserve"> dos profissionais</w:t>
      </w:r>
      <w:r w:rsidRPr="00636E0C">
        <w:rPr>
          <w:rFonts w:ascii="Verdana" w:hAnsi="Verdana"/>
          <w:color w:val="FF0000"/>
          <w:sz w:val="24"/>
        </w:rPr>
        <w:t>;</w:t>
      </w:r>
    </w:p>
    <w:p w14:paraId="2B253A57" w14:textId="77777777" w:rsidR="00636E0C" w:rsidRDefault="00636E0C" w:rsidP="00636E0C">
      <w:pPr>
        <w:pStyle w:val="SemEspaamento"/>
        <w:numPr>
          <w:ilvl w:val="0"/>
          <w:numId w:val="43"/>
        </w:numPr>
        <w:ind w:left="2835" w:hanging="141"/>
        <w:jc w:val="both"/>
        <w:rPr>
          <w:rFonts w:ascii="Verdana" w:hAnsi="Verdana"/>
          <w:color w:val="FF0000"/>
          <w:sz w:val="24"/>
        </w:rPr>
      </w:pPr>
      <w:proofErr w:type="gramStart"/>
      <w:r w:rsidRPr="003E24F6">
        <w:rPr>
          <w:rFonts w:ascii="Verdana" w:hAnsi="Verdana"/>
          <w:color w:val="FF0000"/>
          <w:sz w:val="24"/>
        </w:rPr>
        <w:t>tempo</w:t>
      </w:r>
      <w:proofErr w:type="gramEnd"/>
      <w:r w:rsidRPr="003E24F6">
        <w:rPr>
          <w:rFonts w:ascii="Verdana" w:hAnsi="Verdana"/>
          <w:color w:val="FF0000"/>
          <w:sz w:val="24"/>
        </w:rPr>
        <w:t xml:space="preserve"> do intervalo (intrajornada e interjornada)</w:t>
      </w:r>
      <w:r>
        <w:rPr>
          <w:rFonts w:ascii="Verdana" w:hAnsi="Verdana"/>
          <w:color w:val="FF0000"/>
          <w:sz w:val="24"/>
        </w:rPr>
        <w:t>;</w:t>
      </w:r>
    </w:p>
    <w:p w14:paraId="4E3BE363" w14:textId="77777777" w:rsidR="00636E0C" w:rsidRDefault="00636E0C" w:rsidP="00636E0C">
      <w:pPr>
        <w:pStyle w:val="SemEspaamento"/>
        <w:numPr>
          <w:ilvl w:val="0"/>
          <w:numId w:val="43"/>
        </w:numPr>
        <w:ind w:left="2835" w:hanging="141"/>
        <w:jc w:val="both"/>
        <w:rPr>
          <w:rFonts w:ascii="Verdana" w:hAnsi="Verdana"/>
          <w:color w:val="FF0000"/>
          <w:sz w:val="24"/>
        </w:rPr>
      </w:pPr>
      <w:proofErr w:type="gramStart"/>
      <w:r w:rsidRPr="003E24F6">
        <w:rPr>
          <w:rFonts w:ascii="Verdana" w:hAnsi="Verdana"/>
          <w:color w:val="FF0000"/>
          <w:sz w:val="24"/>
        </w:rPr>
        <w:t>controle</w:t>
      </w:r>
      <w:proofErr w:type="gramEnd"/>
      <w:r w:rsidRPr="003E24F6">
        <w:rPr>
          <w:rFonts w:ascii="Verdana" w:hAnsi="Verdana"/>
          <w:color w:val="FF0000"/>
          <w:sz w:val="24"/>
        </w:rPr>
        <w:t xml:space="preserve"> de frequência (ponto eletrônico ou manual)</w:t>
      </w:r>
      <w:r>
        <w:rPr>
          <w:rFonts w:ascii="Verdana" w:hAnsi="Verdana"/>
          <w:color w:val="FF0000"/>
          <w:sz w:val="24"/>
        </w:rPr>
        <w:t>;</w:t>
      </w:r>
    </w:p>
    <w:p w14:paraId="6A8F2740" w14:textId="77777777" w:rsidR="00636E0C" w:rsidRDefault="00636E0C" w:rsidP="00636E0C">
      <w:pPr>
        <w:pStyle w:val="SemEspaamento"/>
        <w:numPr>
          <w:ilvl w:val="0"/>
          <w:numId w:val="43"/>
        </w:numPr>
        <w:ind w:left="2835" w:hanging="141"/>
        <w:jc w:val="both"/>
        <w:rPr>
          <w:rFonts w:ascii="Verdana" w:hAnsi="Verdana"/>
          <w:color w:val="FF0000"/>
          <w:sz w:val="24"/>
        </w:rPr>
      </w:pPr>
      <w:proofErr w:type="gramStart"/>
      <w:r>
        <w:rPr>
          <w:rFonts w:ascii="Verdana" w:hAnsi="Verdana"/>
          <w:color w:val="FF0000"/>
          <w:sz w:val="24"/>
        </w:rPr>
        <w:t>tempo</w:t>
      </w:r>
      <w:proofErr w:type="gramEnd"/>
      <w:r>
        <w:rPr>
          <w:rFonts w:ascii="Verdana" w:hAnsi="Verdana"/>
          <w:color w:val="FF0000"/>
          <w:sz w:val="24"/>
        </w:rPr>
        <w:t xml:space="preserve"> mínimo para aviso prévio sobre faltas previsíveis;</w:t>
      </w:r>
    </w:p>
    <w:p w14:paraId="10E1BDBC" w14:textId="77777777" w:rsidR="00636E0C" w:rsidRDefault="00636E0C" w:rsidP="00636E0C">
      <w:pPr>
        <w:pStyle w:val="SemEspaamento"/>
        <w:numPr>
          <w:ilvl w:val="0"/>
          <w:numId w:val="43"/>
        </w:numPr>
        <w:ind w:left="2835" w:hanging="141"/>
        <w:jc w:val="both"/>
        <w:rPr>
          <w:rFonts w:ascii="Verdana" w:hAnsi="Verdana"/>
          <w:color w:val="FF0000"/>
          <w:sz w:val="24"/>
        </w:rPr>
      </w:pPr>
      <w:proofErr w:type="gramStart"/>
      <w:r>
        <w:rPr>
          <w:rFonts w:ascii="Verdana" w:hAnsi="Verdana"/>
          <w:color w:val="FF0000"/>
          <w:sz w:val="24"/>
        </w:rPr>
        <w:t>tempo</w:t>
      </w:r>
      <w:proofErr w:type="gramEnd"/>
      <w:r>
        <w:rPr>
          <w:rFonts w:ascii="Verdana" w:hAnsi="Verdana"/>
          <w:color w:val="FF0000"/>
          <w:sz w:val="24"/>
        </w:rPr>
        <w:t xml:space="preserve"> mínimo para substituição dos profissionais em caso de faltas imprevisíveis;</w:t>
      </w:r>
    </w:p>
    <w:p w14:paraId="3F3895F6" w14:textId="77777777" w:rsidR="00636E0C" w:rsidRDefault="00636E0C" w:rsidP="00636E0C">
      <w:pPr>
        <w:pStyle w:val="SemEspaamento"/>
        <w:numPr>
          <w:ilvl w:val="0"/>
          <w:numId w:val="43"/>
        </w:numPr>
        <w:ind w:left="2835" w:hanging="141"/>
        <w:jc w:val="both"/>
        <w:rPr>
          <w:rFonts w:ascii="Verdana" w:hAnsi="Verdana"/>
          <w:color w:val="FF0000"/>
          <w:sz w:val="24"/>
        </w:rPr>
      </w:pPr>
      <w:proofErr w:type="gramStart"/>
      <w:r w:rsidRPr="003E24F6">
        <w:rPr>
          <w:rFonts w:ascii="Verdana" w:hAnsi="Verdana"/>
          <w:color w:val="FF0000"/>
          <w:sz w:val="24"/>
        </w:rPr>
        <w:t>local</w:t>
      </w:r>
      <w:proofErr w:type="gramEnd"/>
      <w:r w:rsidRPr="003E24F6">
        <w:rPr>
          <w:rFonts w:ascii="Verdana" w:hAnsi="Verdana"/>
          <w:color w:val="FF0000"/>
          <w:sz w:val="24"/>
        </w:rPr>
        <w:t xml:space="preserve"> indicado para fazer as refeições (informar se é possível almoçar fora do local de execução ou não, pois em casos de estabelecimentos de saúde há restriç</w:t>
      </w:r>
      <w:r>
        <w:rPr>
          <w:rFonts w:ascii="Verdana" w:hAnsi="Verdana"/>
          <w:color w:val="FF0000"/>
          <w:sz w:val="24"/>
        </w:rPr>
        <w:t>ões para alguns profissionais);</w:t>
      </w:r>
    </w:p>
    <w:p w14:paraId="3F323A3E" w14:textId="6071D711" w:rsidR="00075C54" w:rsidRDefault="00636E0C" w:rsidP="00636E0C">
      <w:pPr>
        <w:pStyle w:val="SemEspaamento"/>
        <w:numPr>
          <w:ilvl w:val="0"/>
          <w:numId w:val="43"/>
        </w:numPr>
        <w:ind w:left="2835" w:hanging="141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>Tipos de manutenção (preventiva e/ou corretiva) e periodicidade da manute</w:t>
      </w:r>
      <w:r w:rsidR="00075C54">
        <w:rPr>
          <w:rFonts w:ascii="Verdana" w:hAnsi="Verdana"/>
          <w:color w:val="FF0000"/>
          <w:sz w:val="24"/>
        </w:rPr>
        <w:t>nção preventiva, se for o caso;</w:t>
      </w:r>
    </w:p>
    <w:p w14:paraId="5A73C100" w14:textId="6599523E" w:rsidR="00636E0C" w:rsidRDefault="00075C54" w:rsidP="00636E0C">
      <w:pPr>
        <w:pStyle w:val="SemEspaamento"/>
        <w:numPr>
          <w:ilvl w:val="0"/>
          <w:numId w:val="43"/>
        </w:numPr>
        <w:ind w:left="2835" w:hanging="141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>Quais equipamentos necessitam de manutenção;</w:t>
      </w:r>
      <w:r w:rsidR="00636E0C">
        <w:rPr>
          <w:rFonts w:ascii="Verdana" w:hAnsi="Verdana"/>
          <w:color w:val="FF0000"/>
          <w:sz w:val="24"/>
        </w:rPr>
        <w:t xml:space="preserve"> </w:t>
      </w:r>
    </w:p>
    <w:p w14:paraId="78DDCED6" w14:textId="77777777" w:rsidR="00636E0C" w:rsidRPr="003E24F6" w:rsidRDefault="00636E0C" w:rsidP="00636E0C">
      <w:pPr>
        <w:pStyle w:val="SemEspaamento"/>
        <w:numPr>
          <w:ilvl w:val="0"/>
          <w:numId w:val="43"/>
        </w:numPr>
        <w:ind w:left="2835" w:hanging="141"/>
        <w:jc w:val="both"/>
        <w:rPr>
          <w:rFonts w:ascii="Verdana" w:hAnsi="Verdana"/>
          <w:color w:val="FF0000"/>
          <w:sz w:val="24"/>
        </w:rPr>
      </w:pPr>
      <w:proofErr w:type="gramStart"/>
      <w:r>
        <w:rPr>
          <w:rFonts w:ascii="Verdana" w:hAnsi="Verdana"/>
          <w:b/>
          <w:color w:val="FF0000"/>
          <w:sz w:val="24"/>
        </w:rPr>
        <w:t>dentre</w:t>
      </w:r>
      <w:proofErr w:type="gramEnd"/>
      <w:r>
        <w:rPr>
          <w:rFonts w:ascii="Verdana" w:hAnsi="Verdana"/>
          <w:b/>
          <w:color w:val="FF0000"/>
          <w:sz w:val="24"/>
        </w:rPr>
        <w:t xml:space="preserve"> outras que o setor demandante julgue necessárias</w:t>
      </w:r>
      <w:r>
        <w:rPr>
          <w:rFonts w:ascii="Verdana" w:hAnsi="Verdana"/>
          <w:color w:val="FF0000"/>
          <w:sz w:val="24"/>
        </w:rPr>
        <w:t>.</w:t>
      </w:r>
      <w:r w:rsidRPr="003E24F6">
        <w:rPr>
          <w:rFonts w:ascii="Verdana" w:hAnsi="Verdana"/>
          <w:color w:val="FF0000"/>
          <w:sz w:val="24"/>
        </w:rPr>
        <w:t xml:space="preserve"> </w:t>
      </w:r>
    </w:p>
    <w:p w14:paraId="596D80A0" w14:textId="77777777" w:rsidR="00636E0C" w:rsidRPr="00636E0C" w:rsidRDefault="00636E0C" w:rsidP="00636E0C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3014A2D7" w14:textId="77777777" w:rsidR="00930ACA" w:rsidRPr="00930ACA" w:rsidRDefault="00F62EB6" w:rsidP="008636F6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color w:val="FF0000"/>
          <w:sz w:val="24"/>
        </w:rPr>
      </w:pPr>
      <w:r w:rsidRPr="00F23EB8">
        <w:rPr>
          <w:rFonts w:ascii="Verdana" w:hAnsi="Verdana"/>
          <w:sz w:val="24"/>
        </w:rPr>
        <w:t>Qual</w:t>
      </w:r>
      <w:r w:rsidR="00B66A22" w:rsidRPr="00F23EB8">
        <w:rPr>
          <w:rFonts w:ascii="Verdana" w:hAnsi="Verdana"/>
          <w:sz w:val="24"/>
        </w:rPr>
        <w:t xml:space="preserve"> será</w:t>
      </w:r>
      <w:r w:rsidRPr="00F23EB8">
        <w:rPr>
          <w:rFonts w:ascii="Verdana" w:hAnsi="Verdana"/>
          <w:sz w:val="24"/>
        </w:rPr>
        <w:t xml:space="preserve"> o prazo de execução de cada etapa?</w:t>
      </w:r>
    </w:p>
    <w:p w14:paraId="02FACA93" w14:textId="77777777" w:rsidR="00930ACA" w:rsidRDefault="00930ACA" w:rsidP="00930ACA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8FA" w14:textId="22B7DF35" w:rsidR="00F62EB6" w:rsidRDefault="00F23EB8" w:rsidP="00930ACA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F23EB8">
        <w:rPr>
          <w:rFonts w:ascii="Verdana" w:hAnsi="Verdana"/>
          <w:color w:val="FF0000"/>
          <w:sz w:val="24"/>
        </w:rPr>
        <w:t>Estimar prazos possíveis, pois deverão ter seu cumprimento exigido.</w:t>
      </w:r>
    </w:p>
    <w:p w14:paraId="178DE872" w14:textId="77777777" w:rsidR="00C122F7" w:rsidRDefault="00C122F7" w:rsidP="00C122F7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7188D3CB" w14:textId="77777777" w:rsidR="00C122F7" w:rsidRDefault="00C122F7" w:rsidP="00930ACA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>Informar, se for o caso, os prazos nos quais deverão ser atendidos os chamados, em casos como – por exemplo – de profissionais (da saúde, ou não) em sobreaviso, ou para realização de manutenções (preventivas e/ou corretivas).</w:t>
      </w:r>
    </w:p>
    <w:p w14:paraId="36613DEE" w14:textId="77777777" w:rsidR="00C122F7" w:rsidRDefault="00C122F7" w:rsidP="00C122F7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0C5442A8" w14:textId="7D2BE9BF" w:rsidR="00C122F7" w:rsidRDefault="00C122F7" w:rsidP="00930ACA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>Informar, se for o caso, os prazos dentro dos quais as manutenções (preventivas e/ou corretivas) deverão ser finalizadas, bem como os horários nos quais as mesmas poderão acontecer.</w:t>
      </w:r>
    </w:p>
    <w:p w14:paraId="151F28FB" w14:textId="77777777" w:rsidR="00E467CA" w:rsidRDefault="00E467CA" w:rsidP="00E467CA">
      <w:pPr>
        <w:pStyle w:val="SemEspaamento"/>
        <w:ind w:left="1701"/>
        <w:jc w:val="both"/>
        <w:rPr>
          <w:rFonts w:ascii="Verdana" w:hAnsi="Verdana"/>
          <w:color w:val="FF0000"/>
          <w:sz w:val="24"/>
        </w:rPr>
      </w:pPr>
    </w:p>
    <w:p w14:paraId="151F28FC" w14:textId="4585AA4F" w:rsidR="00B66A22" w:rsidRDefault="00B66A22" w:rsidP="008636F6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Informar equipe mínima necessária à execução de cada etapa, indicando – se for o caso – a especialidade que deverá ser exigida do(s) profissional(</w:t>
      </w:r>
      <w:proofErr w:type="spellStart"/>
      <w:r w:rsidRPr="00F23EB8">
        <w:rPr>
          <w:rFonts w:ascii="Verdana" w:hAnsi="Verdana"/>
          <w:sz w:val="24"/>
        </w:rPr>
        <w:t>is</w:t>
      </w:r>
      <w:proofErr w:type="spellEnd"/>
      <w:r w:rsidRPr="00F23EB8">
        <w:rPr>
          <w:rFonts w:ascii="Verdana" w:hAnsi="Verdana"/>
          <w:sz w:val="24"/>
        </w:rPr>
        <w:t>) da(s) equipe(s).</w:t>
      </w:r>
    </w:p>
    <w:p w14:paraId="151F28FD" w14:textId="77777777" w:rsidR="00EC450B" w:rsidRDefault="00EC450B" w:rsidP="00F86EFB">
      <w:pPr>
        <w:pStyle w:val="SemEspaamento"/>
        <w:jc w:val="both"/>
        <w:rPr>
          <w:rFonts w:ascii="Verdana" w:hAnsi="Verdana"/>
          <w:sz w:val="24"/>
        </w:rPr>
      </w:pPr>
    </w:p>
    <w:p w14:paraId="2272A179" w14:textId="78CAC1F5" w:rsidR="003E24F6" w:rsidRDefault="00AF20C1" w:rsidP="003E24F6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>A determinação do número de profissionais de saúde deverá levar em conta o regime de plantão</w:t>
      </w:r>
      <w:r w:rsidR="00792966">
        <w:rPr>
          <w:rFonts w:ascii="Verdana" w:hAnsi="Verdana"/>
          <w:color w:val="FF0000"/>
          <w:sz w:val="24"/>
        </w:rPr>
        <w:t>, para evitar que as empresas contratadas disponibilizem menos profissionais do que o necessário para a fiel execução do contrato e imponham cargas-horárias ilegais.</w:t>
      </w:r>
    </w:p>
    <w:p w14:paraId="772A7727" w14:textId="77777777" w:rsidR="00F86EFB" w:rsidRDefault="00F86EFB" w:rsidP="00F86EFB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6AACD725" w14:textId="7C04E9F7" w:rsidR="00F86EFB" w:rsidRDefault="00F86EFB" w:rsidP="003E24F6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 xml:space="preserve">Fornecer tabela de Plantões </w:t>
      </w:r>
      <w:proofErr w:type="spellStart"/>
      <w:r>
        <w:rPr>
          <w:rFonts w:ascii="Verdana" w:hAnsi="Verdana"/>
          <w:color w:val="FF0000"/>
          <w:sz w:val="24"/>
        </w:rPr>
        <w:t>mensaisXEspecialidade</w:t>
      </w:r>
      <w:proofErr w:type="spellEnd"/>
      <w:r>
        <w:rPr>
          <w:rFonts w:ascii="Verdana" w:hAnsi="Verdana"/>
          <w:color w:val="FF0000"/>
          <w:sz w:val="24"/>
        </w:rPr>
        <w:t xml:space="preserve"> Profissional, quando a contratação for de serviço</w:t>
      </w:r>
      <w:r>
        <w:rPr>
          <w:rFonts w:ascii="Verdana" w:hAnsi="Verdana"/>
          <w:color w:val="FF0000"/>
          <w:sz w:val="24"/>
        </w:rPr>
        <w:t xml:space="preserve"> continuado com dedicação exclusiva de mão-de-obra.</w:t>
      </w:r>
    </w:p>
    <w:p w14:paraId="157FDF39" w14:textId="77777777" w:rsidR="00792966" w:rsidRDefault="00792966" w:rsidP="00792966">
      <w:pPr>
        <w:pStyle w:val="SemEspaamento"/>
        <w:ind w:left="2268"/>
        <w:jc w:val="both"/>
        <w:rPr>
          <w:rFonts w:ascii="Verdana" w:hAnsi="Verdana"/>
          <w:color w:val="FF0000"/>
          <w:sz w:val="24"/>
        </w:rPr>
      </w:pPr>
    </w:p>
    <w:p w14:paraId="323C0B8E" w14:textId="11788704" w:rsidR="006D5A05" w:rsidRPr="00F86EFB" w:rsidRDefault="00792966" w:rsidP="00F86EFB">
      <w:pPr>
        <w:pStyle w:val="SemEspaamento"/>
        <w:numPr>
          <w:ilvl w:val="0"/>
          <w:numId w:val="29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 xml:space="preserve">A especialidade de cada profissional, da área de saúde ou não, deve ser indicada, para evitar que a empresa contratada disponibilize empregados(as) com formação diferente ou </w:t>
      </w:r>
      <w:proofErr w:type="gramStart"/>
      <w:r>
        <w:rPr>
          <w:rFonts w:ascii="Verdana" w:hAnsi="Verdana"/>
          <w:color w:val="FF0000"/>
          <w:sz w:val="24"/>
        </w:rPr>
        <w:t>aquém</w:t>
      </w:r>
      <w:proofErr w:type="gramEnd"/>
      <w:r>
        <w:rPr>
          <w:rFonts w:ascii="Verdana" w:hAnsi="Verdana"/>
          <w:color w:val="FF0000"/>
          <w:sz w:val="24"/>
        </w:rPr>
        <w:t xml:space="preserve"> da necessária</w:t>
      </w:r>
      <w:r w:rsidR="00AC43F6">
        <w:rPr>
          <w:rFonts w:ascii="Verdana" w:hAnsi="Verdana"/>
          <w:color w:val="FF0000"/>
          <w:sz w:val="24"/>
        </w:rPr>
        <w:t xml:space="preserve"> (ressalta-se que até mesmo quando a solução pretendid</w:t>
      </w:r>
      <w:r w:rsidR="00636C45">
        <w:rPr>
          <w:rFonts w:ascii="Verdana" w:hAnsi="Verdana"/>
          <w:color w:val="FF0000"/>
          <w:sz w:val="24"/>
        </w:rPr>
        <w:t>a</w:t>
      </w:r>
      <w:r w:rsidR="00AC43F6">
        <w:rPr>
          <w:rFonts w:ascii="Verdana" w:hAnsi="Verdana"/>
          <w:color w:val="FF0000"/>
          <w:sz w:val="24"/>
        </w:rPr>
        <w:t xml:space="preserve"> consistir em realização </w:t>
      </w:r>
      <w:r w:rsidR="00636C45">
        <w:rPr>
          <w:rFonts w:ascii="Verdana" w:hAnsi="Verdana"/>
          <w:color w:val="FF0000"/>
          <w:sz w:val="24"/>
        </w:rPr>
        <w:t xml:space="preserve">de exames, faz-se necessário informar a especialidade necessária para realiza-los e emitir os respectivos laudos).   </w:t>
      </w:r>
      <w:r w:rsidR="00AC43F6">
        <w:rPr>
          <w:rFonts w:ascii="Verdana" w:hAnsi="Verdana"/>
          <w:color w:val="FF0000"/>
          <w:sz w:val="24"/>
        </w:rPr>
        <w:t xml:space="preserve"> </w:t>
      </w:r>
    </w:p>
    <w:p w14:paraId="40F032AF" w14:textId="77777777" w:rsidR="00D54E6C" w:rsidRPr="00AC43F6" w:rsidRDefault="00D54E6C" w:rsidP="00D54E6C">
      <w:pPr>
        <w:pStyle w:val="SemEspaamento"/>
        <w:jc w:val="both"/>
        <w:rPr>
          <w:rFonts w:ascii="Verdana" w:hAnsi="Verdana"/>
          <w:color w:val="FF0000"/>
          <w:sz w:val="24"/>
        </w:rPr>
      </w:pPr>
    </w:p>
    <w:p w14:paraId="3A1BD5B2" w14:textId="77777777" w:rsidR="00792966" w:rsidRDefault="0040163A" w:rsidP="0040163A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 xml:space="preserve">A empresa contratada precisará disponibilizar materiais </w:t>
      </w:r>
      <w:r w:rsidR="003327CA">
        <w:rPr>
          <w:rFonts w:ascii="Verdana" w:hAnsi="Verdana"/>
          <w:sz w:val="24"/>
        </w:rPr>
        <w:t>(inclusive uniformes</w:t>
      </w:r>
      <w:r w:rsidR="0030509E">
        <w:rPr>
          <w:rFonts w:ascii="Verdana" w:hAnsi="Verdana"/>
          <w:sz w:val="24"/>
        </w:rPr>
        <w:t xml:space="preserve"> e crachás</w:t>
      </w:r>
      <w:r w:rsidR="003017F4">
        <w:rPr>
          <w:rFonts w:ascii="Verdana" w:hAnsi="Verdana"/>
          <w:sz w:val="24"/>
        </w:rPr>
        <w:t>, transporte e hospedagem, ou, ainda,</w:t>
      </w:r>
      <w:r w:rsidR="0030509E">
        <w:rPr>
          <w:rFonts w:ascii="Verdana" w:hAnsi="Verdana"/>
          <w:sz w:val="24"/>
        </w:rPr>
        <w:t xml:space="preserve"> </w:t>
      </w:r>
      <w:r w:rsidR="003017F4">
        <w:rPr>
          <w:rFonts w:ascii="Verdana" w:hAnsi="Verdana"/>
          <w:sz w:val="24"/>
        </w:rPr>
        <w:t xml:space="preserve">equipamentos </w:t>
      </w:r>
      <w:r w:rsidR="0030509E">
        <w:rPr>
          <w:rFonts w:ascii="Verdana" w:hAnsi="Verdana"/>
          <w:sz w:val="24"/>
        </w:rPr>
        <w:t>para seus funcionários</w:t>
      </w:r>
      <w:r w:rsidR="003327CA">
        <w:rPr>
          <w:rFonts w:ascii="Verdana" w:hAnsi="Verdana"/>
          <w:sz w:val="24"/>
        </w:rPr>
        <w:t xml:space="preserve">) </w:t>
      </w:r>
      <w:r w:rsidRPr="00F23EB8">
        <w:rPr>
          <w:rFonts w:ascii="Verdana" w:hAnsi="Verdana"/>
          <w:sz w:val="24"/>
        </w:rPr>
        <w:t>para que o serviço seja pre</w:t>
      </w:r>
      <w:r w:rsidR="00EC450B">
        <w:rPr>
          <w:rFonts w:ascii="Verdana" w:hAnsi="Verdana"/>
          <w:sz w:val="24"/>
        </w:rPr>
        <w:t xml:space="preserve">stado de forma satisfatória ou a disponibilização dos materiais ficará </w:t>
      </w:r>
      <w:r w:rsidRPr="00F23EB8">
        <w:rPr>
          <w:rFonts w:ascii="Verdana" w:hAnsi="Verdana"/>
          <w:sz w:val="24"/>
        </w:rPr>
        <w:t>a cargo da</w:t>
      </w:r>
      <w:r w:rsidR="00792966">
        <w:rPr>
          <w:rFonts w:ascii="Verdana" w:hAnsi="Verdana"/>
          <w:sz w:val="24"/>
        </w:rPr>
        <w:t xml:space="preserve"> Secretaria?</w:t>
      </w:r>
    </w:p>
    <w:p w14:paraId="6E6F668A" w14:textId="77777777" w:rsidR="00792966" w:rsidRDefault="00792966" w:rsidP="00792966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626A799E" w14:textId="77777777" w:rsidR="00D53B50" w:rsidRPr="00D53B50" w:rsidRDefault="0040163A" w:rsidP="00792966">
      <w:pPr>
        <w:pStyle w:val="SemEspaamento"/>
        <w:numPr>
          <w:ilvl w:val="0"/>
          <w:numId w:val="30"/>
        </w:numPr>
        <w:ind w:left="2268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color w:val="FF0000"/>
          <w:sz w:val="24"/>
        </w:rPr>
        <w:t>Indicar</w:t>
      </w:r>
      <w:r w:rsidR="006521B3">
        <w:rPr>
          <w:rFonts w:ascii="Verdana" w:hAnsi="Verdana"/>
          <w:color w:val="FF0000"/>
          <w:sz w:val="24"/>
        </w:rPr>
        <w:t xml:space="preserve"> imprescindivelmente </w:t>
      </w:r>
      <w:r w:rsidRPr="00F23EB8">
        <w:rPr>
          <w:rFonts w:ascii="Verdana" w:hAnsi="Verdana"/>
          <w:color w:val="FF0000"/>
          <w:sz w:val="24"/>
        </w:rPr>
        <w:t>quais e</w:t>
      </w:r>
      <w:r w:rsidR="006521B3">
        <w:rPr>
          <w:rFonts w:ascii="Verdana" w:hAnsi="Verdana"/>
          <w:color w:val="FF0000"/>
          <w:sz w:val="24"/>
        </w:rPr>
        <w:t>, se possível,</w:t>
      </w:r>
      <w:r w:rsidRPr="00F23EB8">
        <w:rPr>
          <w:rFonts w:ascii="Verdana" w:hAnsi="Verdana"/>
          <w:color w:val="FF0000"/>
          <w:sz w:val="24"/>
        </w:rPr>
        <w:t xml:space="preserve"> </w:t>
      </w:r>
      <w:r w:rsidR="00792966">
        <w:rPr>
          <w:rFonts w:ascii="Verdana" w:hAnsi="Verdana"/>
          <w:color w:val="FF0000"/>
          <w:sz w:val="24"/>
        </w:rPr>
        <w:t>a quantidade dos</w:t>
      </w:r>
      <w:r w:rsidRPr="00F23EB8">
        <w:rPr>
          <w:rFonts w:ascii="Verdana" w:hAnsi="Verdana"/>
          <w:color w:val="FF0000"/>
          <w:sz w:val="24"/>
        </w:rPr>
        <w:t xml:space="preserve"> materiais </w:t>
      </w:r>
      <w:r w:rsidR="00792966">
        <w:rPr>
          <w:rFonts w:ascii="Verdana" w:hAnsi="Verdana"/>
          <w:color w:val="FF0000"/>
          <w:sz w:val="24"/>
        </w:rPr>
        <w:t xml:space="preserve">que </w:t>
      </w:r>
      <w:r w:rsidRPr="00F23EB8">
        <w:rPr>
          <w:rFonts w:ascii="Verdana" w:hAnsi="Verdana"/>
          <w:color w:val="FF0000"/>
          <w:sz w:val="24"/>
        </w:rPr>
        <w:t>a empresa contratada deverá fornecer</w:t>
      </w:r>
      <w:r w:rsidR="00D53B50">
        <w:rPr>
          <w:rFonts w:ascii="Verdana" w:hAnsi="Verdana"/>
          <w:color w:val="FF0000"/>
          <w:sz w:val="24"/>
        </w:rPr>
        <w:t>.</w:t>
      </w:r>
    </w:p>
    <w:p w14:paraId="10664761" w14:textId="77777777" w:rsidR="00D53B50" w:rsidRPr="00D53B50" w:rsidRDefault="00D53B50" w:rsidP="00636C45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8FE" w14:textId="0ED3DDC1" w:rsidR="0040163A" w:rsidRPr="00F23EB8" w:rsidRDefault="00D53B50" w:rsidP="00792966">
      <w:pPr>
        <w:pStyle w:val="SemEspaamento"/>
        <w:numPr>
          <w:ilvl w:val="0"/>
          <w:numId w:val="30"/>
        </w:numPr>
        <w:ind w:left="2268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>Informar as especificidades – mas apenas as indispensáveis – dos materiais, se for o caso (como a marca desses materiais, quando, por exemplo, houver a necessidade de compatibilidade com a marca do equipamento no qual esses materiais precisam ser empregados),</w:t>
      </w:r>
    </w:p>
    <w:p w14:paraId="151F28FF" w14:textId="77777777" w:rsidR="00EC450B" w:rsidRPr="00F23EB8" w:rsidRDefault="00EC450B" w:rsidP="008D1980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00" w14:textId="26CAC6B5" w:rsidR="008D1980" w:rsidRPr="00C6693A" w:rsidRDefault="008D1980" w:rsidP="00C6693A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5F401A">
        <w:rPr>
          <w:rFonts w:ascii="Verdana" w:hAnsi="Verdana"/>
          <w:b/>
          <w:sz w:val="24"/>
        </w:rPr>
        <w:t>Nas hipóteses em que a forma de seleção do fornecedor seja C</w:t>
      </w:r>
      <w:r w:rsidR="00C6693A" w:rsidRPr="005F401A">
        <w:rPr>
          <w:rFonts w:ascii="Verdana" w:hAnsi="Verdana"/>
          <w:b/>
          <w:sz w:val="24"/>
        </w:rPr>
        <w:t>EL, Pregão ou RDL</w:t>
      </w:r>
      <w:r w:rsidR="00C6693A">
        <w:rPr>
          <w:rFonts w:ascii="Verdana" w:hAnsi="Verdana"/>
          <w:sz w:val="24"/>
        </w:rPr>
        <w:t xml:space="preserve">, pergunta-se: </w:t>
      </w:r>
      <w:r w:rsidR="00C6693A" w:rsidRPr="00C6693A">
        <w:rPr>
          <w:rFonts w:ascii="Verdana" w:hAnsi="Verdana"/>
          <w:sz w:val="24"/>
        </w:rPr>
        <w:t>t</w:t>
      </w:r>
      <w:r w:rsidRPr="00C6693A">
        <w:rPr>
          <w:rFonts w:ascii="Verdana" w:hAnsi="Verdana"/>
          <w:sz w:val="24"/>
        </w:rPr>
        <w:t xml:space="preserve">odos os itens </w:t>
      </w:r>
      <w:r w:rsidR="00D53B50" w:rsidRPr="00C6693A">
        <w:rPr>
          <w:rFonts w:ascii="Verdana" w:hAnsi="Verdana"/>
          <w:sz w:val="24"/>
        </w:rPr>
        <w:t xml:space="preserve">(serviços) </w:t>
      </w:r>
      <w:r w:rsidRPr="00C6693A">
        <w:rPr>
          <w:rFonts w:ascii="Verdana" w:hAnsi="Verdana"/>
          <w:sz w:val="24"/>
        </w:rPr>
        <w:t xml:space="preserve">pretendidos na contratação serão adjudicados por apenas um fornecedor, ou o objeto total da contratação será </w:t>
      </w:r>
      <w:r w:rsidR="00585DF5" w:rsidRPr="00C6693A">
        <w:rPr>
          <w:rFonts w:ascii="Verdana" w:hAnsi="Verdana"/>
          <w:sz w:val="24"/>
        </w:rPr>
        <w:t>divido</w:t>
      </w:r>
      <w:r w:rsidRPr="00C6693A">
        <w:rPr>
          <w:rFonts w:ascii="Verdana" w:hAnsi="Verdana"/>
          <w:sz w:val="24"/>
        </w:rPr>
        <w:t xml:space="preserve"> em grupos de itens (lotes) de modo a tornar possível que cada grupo seja adjudicado por um fornecedor diferente?</w:t>
      </w:r>
    </w:p>
    <w:p w14:paraId="2EE7261A" w14:textId="77777777" w:rsidR="00197E07" w:rsidRDefault="00197E07" w:rsidP="00636C45">
      <w:pPr>
        <w:pStyle w:val="SemEspaamento"/>
        <w:ind w:left="2268" w:hanging="567"/>
        <w:jc w:val="both"/>
        <w:rPr>
          <w:rFonts w:ascii="Verdana" w:hAnsi="Verdana"/>
          <w:sz w:val="24"/>
        </w:rPr>
      </w:pPr>
    </w:p>
    <w:p w14:paraId="4E5D589F" w14:textId="77777777" w:rsidR="00585DF5" w:rsidRDefault="00D53B50" w:rsidP="00636C45">
      <w:pPr>
        <w:pStyle w:val="SemEspaamento"/>
        <w:numPr>
          <w:ilvl w:val="0"/>
          <w:numId w:val="31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D53B50">
        <w:rPr>
          <w:rFonts w:ascii="Verdana" w:hAnsi="Verdana"/>
          <w:color w:val="FF0000"/>
          <w:sz w:val="24"/>
        </w:rPr>
        <w:t>A IN SEGES/MP n. 05/2017 prevê que os Estudos</w:t>
      </w:r>
      <w:r>
        <w:rPr>
          <w:rFonts w:ascii="Verdana" w:hAnsi="Verdana"/>
          <w:color w:val="FF0000"/>
          <w:sz w:val="24"/>
        </w:rPr>
        <w:t xml:space="preserve"> Técnicos</w:t>
      </w:r>
      <w:r w:rsidRPr="00D53B50">
        <w:rPr>
          <w:rFonts w:ascii="Verdana" w:hAnsi="Verdana"/>
          <w:color w:val="FF0000"/>
          <w:sz w:val="24"/>
        </w:rPr>
        <w:t xml:space="preserve"> Preliminares devem conter as </w:t>
      </w:r>
      <w:r w:rsidRPr="00D53B50">
        <w:rPr>
          <w:rFonts w:ascii="Verdana" w:hAnsi="Verdana"/>
          <w:b/>
          <w:color w:val="FF0000"/>
          <w:sz w:val="24"/>
        </w:rPr>
        <w:t xml:space="preserve">justificativas para </w:t>
      </w:r>
      <w:r>
        <w:rPr>
          <w:rFonts w:ascii="Verdana" w:hAnsi="Verdana"/>
          <w:b/>
          <w:color w:val="FF0000"/>
          <w:sz w:val="24"/>
        </w:rPr>
        <w:t>a divisão</w:t>
      </w:r>
      <w:r w:rsidRPr="00D53B50">
        <w:rPr>
          <w:rFonts w:ascii="Verdana" w:hAnsi="Verdana"/>
          <w:b/>
          <w:color w:val="FF0000"/>
          <w:sz w:val="24"/>
        </w:rPr>
        <w:t xml:space="preserve"> ou não da solução</w:t>
      </w:r>
      <w:r w:rsidR="00585DF5">
        <w:rPr>
          <w:rFonts w:ascii="Verdana" w:hAnsi="Verdana"/>
          <w:color w:val="FF0000"/>
          <w:sz w:val="24"/>
        </w:rPr>
        <w:t xml:space="preserve"> </w:t>
      </w:r>
      <w:r w:rsidRPr="00D53B50">
        <w:rPr>
          <w:rFonts w:ascii="Verdana" w:hAnsi="Verdana"/>
          <w:color w:val="FF0000"/>
          <w:sz w:val="24"/>
        </w:rPr>
        <w:t>(art. 24, § 1º, VIII)</w:t>
      </w:r>
      <w:r w:rsidR="00585DF5">
        <w:rPr>
          <w:rFonts w:ascii="Verdana" w:hAnsi="Verdana"/>
          <w:color w:val="FF0000"/>
          <w:sz w:val="24"/>
        </w:rPr>
        <w:t>.</w:t>
      </w:r>
    </w:p>
    <w:p w14:paraId="6C42F2ED" w14:textId="77777777" w:rsidR="006745B1" w:rsidRDefault="006745B1" w:rsidP="00636C45">
      <w:pPr>
        <w:pStyle w:val="SemEspaamento"/>
        <w:ind w:left="2268" w:hanging="567"/>
        <w:jc w:val="both"/>
        <w:rPr>
          <w:rFonts w:ascii="Verdana" w:hAnsi="Verdana"/>
          <w:color w:val="FF0000"/>
          <w:sz w:val="24"/>
        </w:rPr>
      </w:pPr>
    </w:p>
    <w:p w14:paraId="59D49805" w14:textId="2BABD28A" w:rsidR="00197E07" w:rsidRDefault="00D53B50" w:rsidP="00636C45">
      <w:pPr>
        <w:pStyle w:val="SemEspaamento"/>
        <w:numPr>
          <w:ilvl w:val="0"/>
          <w:numId w:val="31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 xml:space="preserve">No Anexo, item 3.8 da referida Instrução Normativa, consigna-se que </w:t>
      </w:r>
      <w:r w:rsidR="00585DF5" w:rsidRPr="00585DF5">
        <w:rPr>
          <w:rFonts w:ascii="Verdana" w:hAnsi="Verdana"/>
          <w:color w:val="FF0000"/>
          <w:sz w:val="24"/>
        </w:rPr>
        <w:t>“</w:t>
      </w:r>
      <w:r w:rsidR="00C6693A" w:rsidRPr="00C6693A">
        <w:rPr>
          <w:rFonts w:ascii="Verdana" w:hAnsi="Verdana"/>
          <w:b/>
          <w:color w:val="FF0000"/>
          <w:sz w:val="24"/>
        </w:rPr>
        <w:t xml:space="preserve">o </w:t>
      </w:r>
      <w:r w:rsidR="00585DF5" w:rsidRPr="00C6693A">
        <w:rPr>
          <w:rFonts w:ascii="Verdana" w:hAnsi="Verdana"/>
          <w:b/>
          <w:color w:val="FF0000"/>
          <w:sz w:val="24"/>
        </w:rPr>
        <w:t>parcelamento da solução é a regra devendo a licitação ser realizada por item, sempre que o objeto for divisível</w:t>
      </w:r>
      <w:r w:rsidR="00585DF5" w:rsidRPr="00585DF5">
        <w:rPr>
          <w:rFonts w:ascii="Verdana" w:hAnsi="Verdana"/>
          <w:color w:val="FF0000"/>
          <w:sz w:val="24"/>
        </w:rPr>
        <w:t>, desde que se verifique não haver prejuízo para o conjunto da solução ou perda de economia de escala, visando propiciar a ampla participação de</w:t>
      </w:r>
      <w:r w:rsidR="006745B1">
        <w:rPr>
          <w:rFonts w:ascii="Verdana" w:hAnsi="Verdana"/>
          <w:color w:val="FF0000"/>
          <w:sz w:val="24"/>
        </w:rPr>
        <w:t xml:space="preserve"> </w:t>
      </w:r>
      <w:r w:rsidR="00585DF5" w:rsidRPr="00585DF5">
        <w:rPr>
          <w:rFonts w:ascii="Verdana" w:hAnsi="Verdana"/>
          <w:color w:val="FF0000"/>
          <w:sz w:val="24"/>
        </w:rPr>
        <w:t>licitantes que, embora não disponham de capacidade para execução da totalidade do objeto, possam fazê-lo com relação a itens ou unidades autônomas”</w:t>
      </w:r>
      <w:r w:rsidR="00585DF5">
        <w:rPr>
          <w:rFonts w:ascii="Verdana" w:hAnsi="Verdana"/>
          <w:color w:val="FF0000"/>
          <w:sz w:val="24"/>
        </w:rPr>
        <w:t>.</w:t>
      </w:r>
    </w:p>
    <w:p w14:paraId="4304AEEA" w14:textId="60ACE3D2" w:rsidR="00C6693A" w:rsidRDefault="00C6693A" w:rsidP="00636C45">
      <w:pPr>
        <w:pStyle w:val="SemEspaamento"/>
        <w:ind w:left="2268" w:hanging="567"/>
        <w:jc w:val="both"/>
        <w:rPr>
          <w:rFonts w:ascii="Verdana" w:hAnsi="Verdana"/>
          <w:color w:val="FF0000"/>
          <w:sz w:val="24"/>
        </w:rPr>
      </w:pPr>
    </w:p>
    <w:p w14:paraId="63ACC993" w14:textId="77777777" w:rsidR="00C6693A" w:rsidRDefault="00C6693A" w:rsidP="00636C45">
      <w:pPr>
        <w:pStyle w:val="SemEspaamento"/>
        <w:numPr>
          <w:ilvl w:val="0"/>
          <w:numId w:val="31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 w:rsidRPr="006745B1">
        <w:rPr>
          <w:rFonts w:ascii="Verdana" w:hAnsi="Verdana"/>
          <w:b/>
          <w:color w:val="FF0000"/>
          <w:sz w:val="24"/>
        </w:rPr>
        <w:t>A regra a ser observada pela Admi</w:t>
      </w:r>
      <w:r>
        <w:rPr>
          <w:rFonts w:ascii="Verdana" w:hAnsi="Verdana"/>
          <w:b/>
          <w:color w:val="FF0000"/>
          <w:sz w:val="24"/>
        </w:rPr>
        <w:t xml:space="preserve">nistração nas licitações é a da divisão </w:t>
      </w:r>
      <w:r w:rsidRPr="006745B1">
        <w:rPr>
          <w:rFonts w:ascii="Verdana" w:hAnsi="Verdana"/>
          <w:b/>
          <w:color w:val="FF0000"/>
          <w:sz w:val="24"/>
        </w:rPr>
        <w:t>do objeto</w:t>
      </w:r>
      <w:r w:rsidRPr="00D53B50">
        <w:rPr>
          <w:rFonts w:ascii="Verdana" w:hAnsi="Verdana"/>
          <w:color w:val="FF0000"/>
          <w:sz w:val="24"/>
        </w:rPr>
        <w:t xml:space="preserve">, conforme disposto no § 1º do art. 23 da Lei nº 8.666, de 1993, </w:t>
      </w:r>
      <w:r w:rsidRPr="00D53B50">
        <w:rPr>
          <w:rFonts w:ascii="Verdana" w:hAnsi="Verdana"/>
          <w:b/>
          <w:color w:val="FF0000"/>
          <w:sz w:val="24"/>
        </w:rPr>
        <w:t>mas é imprescindível que a divisão do objeto seja técnica e economicamente viável e não represente perda de economia de escala</w:t>
      </w:r>
      <w:r w:rsidRPr="00D53B50">
        <w:rPr>
          <w:rFonts w:ascii="Verdana" w:hAnsi="Verdana"/>
          <w:color w:val="FF0000"/>
          <w:sz w:val="24"/>
        </w:rPr>
        <w:t xml:space="preserve"> (Súmula 247 do TCU)</w:t>
      </w:r>
      <w:r>
        <w:rPr>
          <w:rFonts w:ascii="Verdana" w:hAnsi="Verdana"/>
          <w:color w:val="FF0000"/>
          <w:sz w:val="24"/>
        </w:rPr>
        <w:t>.</w:t>
      </w:r>
    </w:p>
    <w:p w14:paraId="3CAB56AC" w14:textId="44A9D43C" w:rsidR="00585DF5" w:rsidRDefault="00585DF5" w:rsidP="00636C45">
      <w:pPr>
        <w:pStyle w:val="SemEspaamento"/>
        <w:ind w:left="2268" w:hanging="567"/>
        <w:jc w:val="both"/>
        <w:rPr>
          <w:rFonts w:ascii="Verdana" w:hAnsi="Verdana"/>
          <w:color w:val="FF0000"/>
          <w:sz w:val="24"/>
        </w:rPr>
      </w:pPr>
    </w:p>
    <w:p w14:paraId="7BD24B42" w14:textId="44EB810D" w:rsidR="00585DF5" w:rsidRPr="00D53B50" w:rsidRDefault="005C25BF" w:rsidP="00636C45">
      <w:pPr>
        <w:pStyle w:val="SemEspaamento"/>
        <w:numPr>
          <w:ilvl w:val="0"/>
          <w:numId w:val="31"/>
        </w:numPr>
        <w:ind w:left="2268" w:hanging="567"/>
        <w:jc w:val="both"/>
        <w:rPr>
          <w:rFonts w:ascii="Verdana" w:hAnsi="Verdana"/>
          <w:color w:val="FF0000"/>
          <w:sz w:val="24"/>
        </w:rPr>
      </w:pPr>
      <w:r>
        <w:rPr>
          <w:rFonts w:ascii="Verdana" w:hAnsi="Verdana"/>
          <w:color w:val="FF0000"/>
          <w:sz w:val="24"/>
        </w:rPr>
        <w:t xml:space="preserve">É, importante, porém, observar as ressalvas constantes no </w:t>
      </w:r>
      <w:r w:rsidR="00585DF5" w:rsidRPr="00585DF5">
        <w:rPr>
          <w:rFonts w:ascii="Verdana" w:hAnsi="Verdana"/>
          <w:color w:val="FF0000"/>
          <w:sz w:val="24"/>
        </w:rPr>
        <w:t>Acórdão/TCU 1214/2013-Plenário</w:t>
      </w:r>
      <w:r w:rsidR="00585DF5">
        <w:rPr>
          <w:rFonts w:ascii="Verdana" w:hAnsi="Verdana"/>
          <w:color w:val="FF0000"/>
          <w:sz w:val="24"/>
        </w:rPr>
        <w:t>:</w:t>
      </w:r>
      <w:r w:rsidR="00585DF5" w:rsidRPr="00585DF5">
        <w:rPr>
          <w:rFonts w:ascii="Verdana" w:hAnsi="Verdana"/>
          <w:color w:val="FF0000"/>
          <w:sz w:val="24"/>
        </w:rPr>
        <w:t xml:space="preserve"> “deve ser evitado o parcelamento de serviços não especializados, a exemplo de limpeza, copeiragem, garçom, sendo objeto de parcelamento os serviços em que reste comprovado que as empresas atuam no mercado de forma segmentada por especialização, a exemplo de manutenção predial, ar condicionado, telefonia, serviços de engenharia em geral, áudio e vídeo, informática”.</w:t>
      </w:r>
    </w:p>
    <w:p w14:paraId="151F2901" w14:textId="77777777" w:rsidR="00BD413C" w:rsidRDefault="00BD413C" w:rsidP="00636C45">
      <w:pPr>
        <w:pStyle w:val="SemEspaamento"/>
        <w:ind w:left="2268" w:hanging="567"/>
        <w:jc w:val="both"/>
        <w:rPr>
          <w:rFonts w:ascii="Verdana" w:hAnsi="Verdana"/>
          <w:sz w:val="24"/>
        </w:rPr>
      </w:pPr>
    </w:p>
    <w:p w14:paraId="46D1F36D" w14:textId="77777777" w:rsidR="006745B1" w:rsidRDefault="00D33669" w:rsidP="008D1980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Existe um ID cadastrado para o(s) item(s)</w:t>
      </w:r>
      <w:r w:rsidR="00F23EB8" w:rsidRPr="00F23EB8">
        <w:rPr>
          <w:rFonts w:ascii="Verdana" w:hAnsi="Verdana"/>
          <w:sz w:val="24"/>
        </w:rPr>
        <w:t xml:space="preserve"> objeto da contratação</w:t>
      </w:r>
      <w:r w:rsidR="00F23EB8">
        <w:rPr>
          <w:rFonts w:ascii="Verdana" w:hAnsi="Verdana"/>
          <w:sz w:val="24"/>
        </w:rPr>
        <w:t xml:space="preserve">? </w:t>
      </w:r>
    </w:p>
    <w:p w14:paraId="3229F5C6" w14:textId="77777777" w:rsidR="006745B1" w:rsidRDefault="006745B1" w:rsidP="006745B1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02" w14:textId="46FF11B7" w:rsidR="00D33669" w:rsidRPr="00F23EB8" w:rsidRDefault="00F23EB8" w:rsidP="00636C45">
      <w:pPr>
        <w:pStyle w:val="SemEspaamento"/>
        <w:numPr>
          <w:ilvl w:val="0"/>
          <w:numId w:val="32"/>
        </w:numPr>
        <w:ind w:left="2268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color w:val="FF0000"/>
          <w:sz w:val="24"/>
        </w:rPr>
        <w:t>Se não existir</w:t>
      </w:r>
      <w:r w:rsidR="006745B1">
        <w:rPr>
          <w:rFonts w:ascii="Verdana" w:hAnsi="Verdana"/>
          <w:color w:val="FF0000"/>
          <w:sz w:val="24"/>
        </w:rPr>
        <w:t xml:space="preserve"> um ID catalogado ou se o ID catalogado estiver inativo</w:t>
      </w:r>
      <w:r w:rsidRPr="00F23EB8">
        <w:rPr>
          <w:rFonts w:ascii="Verdana" w:hAnsi="Verdana"/>
          <w:color w:val="FF0000"/>
          <w:sz w:val="24"/>
        </w:rPr>
        <w:t xml:space="preserve">, </w:t>
      </w:r>
      <w:r w:rsidR="006745B1">
        <w:rPr>
          <w:rFonts w:ascii="Verdana" w:hAnsi="Verdana"/>
          <w:color w:val="FF0000"/>
          <w:sz w:val="24"/>
        </w:rPr>
        <w:t>será n</w:t>
      </w:r>
      <w:r w:rsidR="00C6693A">
        <w:rPr>
          <w:rFonts w:ascii="Verdana" w:hAnsi="Verdana"/>
          <w:color w:val="FF0000"/>
          <w:sz w:val="24"/>
        </w:rPr>
        <w:t xml:space="preserve">ecessário elaborar um texto descritivo do(s) serviço(s) pretendido(s) </w:t>
      </w:r>
      <w:r w:rsidRPr="00F23EB8">
        <w:rPr>
          <w:rFonts w:ascii="Verdana" w:hAnsi="Verdana"/>
          <w:color w:val="FF0000"/>
          <w:sz w:val="24"/>
        </w:rPr>
        <w:t>providenciar o cadastramento de um novo ID junto à Gerência de Compras</w:t>
      </w:r>
      <w:r w:rsidR="0035203D">
        <w:rPr>
          <w:rFonts w:ascii="Verdana" w:hAnsi="Verdana"/>
          <w:color w:val="FF0000"/>
          <w:sz w:val="24"/>
        </w:rPr>
        <w:t xml:space="preserve"> (GECOM)</w:t>
      </w:r>
      <w:r w:rsidRPr="00F23EB8">
        <w:rPr>
          <w:rFonts w:ascii="Verdana" w:hAnsi="Verdana"/>
          <w:color w:val="FF0000"/>
          <w:sz w:val="24"/>
        </w:rPr>
        <w:t>.</w:t>
      </w:r>
      <w:r>
        <w:rPr>
          <w:rFonts w:ascii="Verdana" w:hAnsi="Verdana"/>
          <w:sz w:val="24"/>
        </w:rPr>
        <w:t xml:space="preserve">  </w:t>
      </w:r>
      <w:r w:rsidR="00D33669" w:rsidRPr="00F23EB8">
        <w:rPr>
          <w:rFonts w:ascii="Verdana" w:hAnsi="Verdana"/>
          <w:sz w:val="24"/>
        </w:rPr>
        <w:t xml:space="preserve"> </w:t>
      </w:r>
    </w:p>
    <w:p w14:paraId="151F2903" w14:textId="77777777" w:rsidR="00EC450B" w:rsidRPr="00F23EB8" w:rsidRDefault="00EC450B" w:rsidP="0040163A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4A714614" w14:textId="77777777" w:rsidR="00325AFA" w:rsidRPr="00325AFA" w:rsidRDefault="008D1980" w:rsidP="008D1980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 w:cs="Times New Roman"/>
          <w:sz w:val="24"/>
          <w:szCs w:val="20"/>
        </w:rPr>
        <w:t>Respondidas as perguntas acima, pergunta-se: a contratação pretendida adotará como critério aplicável à apuração do valor a ser pago à pessoa jurídica contratada (regime de execução) a empreitada por preço global ou a</w:t>
      </w:r>
      <w:r w:rsidR="00325AFA">
        <w:rPr>
          <w:rFonts w:ascii="Verdana" w:hAnsi="Verdana" w:cs="Times New Roman"/>
          <w:sz w:val="24"/>
          <w:szCs w:val="20"/>
        </w:rPr>
        <w:t xml:space="preserve"> empreitada por preço unitário?</w:t>
      </w:r>
    </w:p>
    <w:p w14:paraId="17088F99" w14:textId="77777777" w:rsidR="00325AFA" w:rsidRDefault="00325AFA" w:rsidP="00325AFA">
      <w:pPr>
        <w:pStyle w:val="SemEspaamento"/>
        <w:ind w:left="1701"/>
        <w:jc w:val="both"/>
        <w:rPr>
          <w:rFonts w:ascii="Verdana" w:hAnsi="Verdana" w:cs="Times New Roman"/>
          <w:sz w:val="24"/>
          <w:szCs w:val="20"/>
        </w:rPr>
      </w:pPr>
    </w:p>
    <w:p w14:paraId="151F2904" w14:textId="505C98C9" w:rsidR="008D1980" w:rsidRPr="00F23EB8" w:rsidRDefault="008D1980" w:rsidP="00636C45">
      <w:pPr>
        <w:pStyle w:val="SemEspaamento"/>
        <w:numPr>
          <w:ilvl w:val="0"/>
          <w:numId w:val="33"/>
        </w:numPr>
        <w:ind w:left="2268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 w:cs="Times New Roman"/>
          <w:color w:val="FF0000"/>
          <w:sz w:val="24"/>
          <w:szCs w:val="20"/>
        </w:rPr>
        <w:t xml:space="preserve">Se for possível prever os </w:t>
      </w:r>
      <w:r w:rsidR="0035203D">
        <w:rPr>
          <w:rFonts w:ascii="Verdana" w:hAnsi="Verdana" w:cs="Times New Roman"/>
          <w:color w:val="FF0000"/>
          <w:sz w:val="24"/>
          <w:szCs w:val="20"/>
        </w:rPr>
        <w:t>quantitativos</w:t>
      </w:r>
      <w:r w:rsidRPr="00F23EB8">
        <w:rPr>
          <w:rFonts w:ascii="Verdana" w:hAnsi="Verdana" w:cs="Times New Roman"/>
          <w:color w:val="FF0000"/>
          <w:sz w:val="24"/>
          <w:szCs w:val="20"/>
        </w:rPr>
        <w:t xml:space="preserve"> do objeto do Projeto Básico, de modo a permitir a definição prévia do valor contratual com exatidão, será preço global. Senão, será preço unitário, para que não seja necessário recorrer a glosas, pagando-se somente o que for atestado pelo fiscal do contrato. </w:t>
      </w:r>
      <w:r w:rsidRPr="0035203D">
        <w:rPr>
          <w:rFonts w:ascii="Verdana" w:hAnsi="Verdana" w:cs="Times New Roman"/>
          <w:b/>
          <w:bCs/>
          <w:color w:val="FF0000"/>
          <w:sz w:val="24"/>
          <w:szCs w:val="20"/>
        </w:rPr>
        <w:t>Pode-se afirmar que a conveniência de se adotar o regime de empreitada por preço global diminui à medida que se eleva o nível de incerteza sobre o objeto a ser contratado</w:t>
      </w:r>
      <w:r w:rsidR="00325AFA">
        <w:rPr>
          <w:rFonts w:ascii="Verdana" w:hAnsi="Verdana" w:cs="Times New Roman"/>
          <w:b/>
          <w:bCs/>
          <w:color w:val="FF0000"/>
          <w:sz w:val="24"/>
          <w:szCs w:val="20"/>
        </w:rPr>
        <w:t>.</w:t>
      </w:r>
      <w:r w:rsidRPr="0035203D">
        <w:rPr>
          <w:rFonts w:ascii="Verdana" w:hAnsi="Verdana" w:cs="Times New Roman"/>
          <w:b/>
          <w:bCs/>
          <w:color w:val="FF0000"/>
          <w:sz w:val="24"/>
          <w:szCs w:val="20"/>
        </w:rPr>
        <w:t xml:space="preserve"> </w:t>
      </w:r>
      <w:r w:rsidRPr="00F23EB8">
        <w:rPr>
          <w:rFonts w:ascii="Verdana" w:hAnsi="Verdana" w:cs="Times New Roman"/>
          <w:color w:val="FF0000"/>
          <w:sz w:val="24"/>
          <w:szCs w:val="20"/>
        </w:rPr>
        <w:t>(Ver TCU, Ac n.</w:t>
      </w:r>
      <w:r w:rsidR="00325AFA">
        <w:rPr>
          <w:rFonts w:ascii="Verdana" w:hAnsi="Verdana" w:cs="Times New Roman"/>
          <w:color w:val="FF0000"/>
          <w:sz w:val="24"/>
          <w:szCs w:val="20"/>
        </w:rPr>
        <w:t xml:space="preserve"> 1.977/2013-Plenário, Item 29)</w:t>
      </w:r>
    </w:p>
    <w:p w14:paraId="151F2905" w14:textId="77777777" w:rsidR="00EC450B" w:rsidRPr="00F23EB8" w:rsidRDefault="00EC450B" w:rsidP="008D1980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399901AB" w14:textId="77777777" w:rsidR="00325AFA" w:rsidRDefault="0040163A" w:rsidP="0040163A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>Será admitida a subcontratação parcial do objeto?</w:t>
      </w:r>
    </w:p>
    <w:p w14:paraId="1CAA0569" w14:textId="77777777" w:rsidR="00325AFA" w:rsidRDefault="00325AFA" w:rsidP="00325AFA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06" w14:textId="072F87F1" w:rsidR="0040163A" w:rsidRPr="00F23EB8" w:rsidRDefault="0040163A" w:rsidP="00636C45">
      <w:pPr>
        <w:pStyle w:val="SemEspaamento"/>
        <w:numPr>
          <w:ilvl w:val="0"/>
          <w:numId w:val="34"/>
        </w:numPr>
        <w:ind w:left="2268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color w:val="FF0000"/>
          <w:sz w:val="24"/>
        </w:rPr>
        <w:t>Ressalte-se que é vedada a subcontratação total e a subcontratação da pa</w:t>
      </w:r>
      <w:r w:rsidR="00636C45">
        <w:rPr>
          <w:rFonts w:ascii="Verdana" w:hAnsi="Verdana"/>
          <w:color w:val="FF0000"/>
          <w:sz w:val="24"/>
        </w:rPr>
        <w:t>rcela principal (</w:t>
      </w:r>
      <w:r w:rsidR="005F401A">
        <w:rPr>
          <w:rFonts w:ascii="Verdana" w:hAnsi="Verdana"/>
          <w:color w:val="FF0000"/>
          <w:sz w:val="24"/>
        </w:rPr>
        <w:t>o serviço principal não pode ser subcontratado e, em termos quantitativos, não pode haver subcontratação de parcela maior ou igual a 49</w:t>
      </w:r>
      <w:r w:rsidR="00636C45">
        <w:rPr>
          <w:rFonts w:ascii="Verdana" w:hAnsi="Verdana"/>
          <w:color w:val="FF0000"/>
          <w:sz w:val="24"/>
        </w:rPr>
        <w:t xml:space="preserve">%) do objeto </w:t>
      </w:r>
      <w:r w:rsidRPr="00F23EB8">
        <w:rPr>
          <w:rFonts w:ascii="Verdana" w:hAnsi="Verdana"/>
          <w:color w:val="FF0000"/>
          <w:sz w:val="24"/>
        </w:rPr>
        <w:t>pretendido.</w:t>
      </w:r>
    </w:p>
    <w:p w14:paraId="151F2907" w14:textId="77777777" w:rsidR="00EC450B" w:rsidRPr="00F23EB8" w:rsidRDefault="00EC450B" w:rsidP="0040163A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4CD88825" w14:textId="01BDE182" w:rsidR="00325AFA" w:rsidRDefault="0040163A" w:rsidP="0040163A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 xml:space="preserve">Em que período as empresas </w:t>
      </w:r>
      <w:r w:rsidR="00E673C4">
        <w:rPr>
          <w:rFonts w:ascii="Verdana" w:hAnsi="Verdana"/>
          <w:sz w:val="24"/>
        </w:rPr>
        <w:t>licitantes/</w:t>
      </w:r>
      <w:r w:rsidRPr="00F23EB8">
        <w:rPr>
          <w:rFonts w:ascii="Verdana" w:hAnsi="Verdana"/>
          <w:sz w:val="24"/>
        </w:rPr>
        <w:t>proponentes poderão realizar a visita técnica no(s) local(is) de execução?</w:t>
      </w:r>
    </w:p>
    <w:p w14:paraId="55F87749" w14:textId="77777777" w:rsidR="00325AFA" w:rsidRDefault="00325AFA" w:rsidP="00325AFA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5D97B236" w14:textId="77777777" w:rsidR="00636C45" w:rsidRPr="00BE3B2D" w:rsidRDefault="0035203D" w:rsidP="00636C45">
      <w:pPr>
        <w:pStyle w:val="SemEspaamento"/>
        <w:numPr>
          <w:ilvl w:val="0"/>
          <w:numId w:val="35"/>
        </w:numPr>
        <w:ind w:left="2268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 xml:space="preserve">Ainda que o setor demandante </w:t>
      </w:r>
      <w:r w:rsidR="00D6758E">
        <w:rPr>
          <w:rFonts w:ascii="Verdana" w:hAnsi="Verdana"/>
          <w:color w:val="FF0000"/>
          <w:sz w:val="24"/>
        </w:rPr>
        <w:t>julgue desnecessária a visita técnica, faz-se necessário viabilizá-la para o fornecedor que</w:t>
      </w:r>
      <w:r w:rsidR="00757A08">
        <w:rPr>
          <w:rFonts w:ascii="Verdana" w:hAnsi="Verdana"/>
          <w:color w:val="FF0000"/>
          <w:sz w:val="24"/>
        </w:rPr>
        <w:t xml:space="preserve"> queira fazê-la.</w:t>
      </w:r>
    </w:p>
    <w:p w14:paraId="28AFF047" w14:textId="77777777" w:rsidR="00BE3B2D" w:rsidRDefault="00BE3B2D" w:rsidP="00BE3B2D">
      <w:pPr>
        <w:pStyle w:val="SemEspaamento"/>
        <w:ind w:left="2268"/>
        <w:jc w:val="both"/>
        <w:rPr>
          <w:rFonts w:ascii="Verdana" w:hAnsi="Verdana"/>
          <w:sz w:val="24"/>
        </w:rPr>
      </w:pPr>
    </w:p>
    <w:p w14:paraId="3A7292C8" w14:textId="1F9CB708" w:rsidR="00325AFA" w:rsidRPr="00636C45" w:rsidRDefault="00E673C4" w:rsidP="00636C45">
      <w:pPr>
        <w:pStyle w:val="SemEspaamento"/>
        <w:numPr>
          <w:ilvl w:val="0"/>
          <w:numId w:val="35"/>
        </w:numPr>
        <w:ind w:left="2268" w:hanging="567"/>
        <w:jc w:val="both"/>
        <w:rPr>
          <w:rFonts w:ascii="Verdana" w:hAnsi="Verdana"/>
          <w:sz w:val="24"/>
        </w:rPr>
      </w:pPr>
      <w:r w:rsidRPr="00636C45">
        <w:rPr>
          <w:rFonts w:ascii="Verdana" w:hAnsi="Verdana"/>
          <w:color w:val="FF0000"/>
          <w:sz w:val="24"/>
        </w:rPr>
        <w:t>Informar o telefone para o qual as empresas poderão ligar para agendar a visita técnica.</w:t>
      </w:r>
    </w:p>
    <w:p w14:paraId="07C37EA6" w14:textId="77777777" w:rsidR="006D5A05" w:rsidRPr="00E673C4" w:rsidRDefault="006D5A05" w:rsidP="00636C45">
      <w:pPr>
        <w:pStyle w:val="SemEspaamento"/>
        <w:jc w:val="both"/>
        <w:rPr>
          <w:rFonts w:ascii="Verdana" w:hAnsi="Verdana"/>
          <w:color w:val="FF0000"/>
          <w:sz w:val="24"/>
        </w:rPr>
      </w:pPr>
    </w:p>
    <w:p w14:paraId="7DA8ADE0" w14:textId="5212EF27" w:rsidR="00E673C4" w:rsidRDefault="008A3790" w:rsidP="008636F6">
      <w:pPr>
        <w:pStyle w:val="SemEspaamento"/>
        <w:numPr>
          <w:ilvl w:val="1"/>
          <w:numId w:val="16"/>
        </w:numPr>
        <w:ind w:left="1701" w:hanging="567"/>
        <w:jc w:val="both"/>
        <w:rPr>
          <w:rFonts w:ascii="Verdana" w:hAnsi="Verdana"/>
          <w:sz w:val="24"/>
        </w:rPr>
      </w:pPr>
      <w:r w:rsidRPr="00F23EB8">
        <w:rPr>
          <w:rFonts w:ascii="Verdana" w:hAnsi="Verdana"/>
          <w:sz w:val="24"/>
        </w:rPr>
        <w:t xml:space="preserve">O setor demandante </w:t>
      </w:r>
      <w:r w:rsidR="006D5A05">
        <w:rPr>
          <w:rFonts w:ascii="Verdana" w:hAnsi="Verdana"/>
          <w:sz w:val="24"/>
        </w:rPr>
        <w:t>considera necessário fazer</w:t>
      </w:r>
      <w:r w:rsidRPr="00F23EB8">
        <w:rPr>
          <w:rFonts w:ascii="Verdana" w:hAnsi="Verdana"/>
          <w:sz w:val="24"/>
        </w:rPr>
        <w:t xml:space="preserve"> vistoria do produto do serviço pretendido</w:t>
      </w:r>
      <w:r w:rsidR="0040163A" w:rsidRPr="00F23EB8">
        <w:rPr>
          <w:rFonts w:ascii="Verdana" w:hAnsi="Verdana"/>
          <w:sz w:val="24"/>
        </w:rPr>
        <w:t xml:space="preserve"> e/ou de material que a empresa contratada deverá fornecer </w:t>
      </w:r>
      <w:r w:rsidRPr="00F23EB8">
        <w:rPr>
          <w:rFonts w:ascii="Verdana" w:hAnsi="Verdana"/>
          <w:sz w:val="24"/>
        </w:rPr>
        <w:t xml:space="preserve">para </w:t>
      </w:r>
      <w:r w:rsidR="00757A08">
        <w:rPr>
          <w:rFonts w:ascii="Verdana" w:hAnsi="Verdana"/>
          <w:sz w:val="24"/>
        </w:rPr>
        <w:t xml:space="preserve">lhe </w:t>
      </w:r>
      <w:r w:rsidRPr="00F23EB8">
        <w:rPr>
          <w:rFonts w:ascii="Verdana" w:hAnsi="Verdana"/>
          <w:sz w:val="24"/>
        </w:rPr>
        <w:t>atestar a qualidade e regularidade, antes de aceit</w:t>
      </w:r>
      <w:r w:rsidR="00757A08">
        <w:rPr>
          <w:rFonts w:ascii="Verdana" w:hAnsi="Verdana"/>
          <w:sz w:val="24"/>
        </w:rPr>
        <w:t>á</w:t>
      </w:r>
      <w:r w:rsidRPr="00F23EB8">
        <w:rPr>
          <w:rFonts w:ascii="Verdana" w:hAnsi="Verdana"/>
          <w:sz w:val="24"/>
        </w:rPr>
        <w:t>-lo definitivamente?</w:t>
      </w:r>
    </w:p>
    <w:p w14:paraId="28C800FF" w14:textId="77777777" w:rsidR="00E673C4" w:rsidRDefault="00E673C4" w:rsidP="00E673C4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0A" w14:textId="6F38CC54" w:rsidR="008A3790" w:rsidRPr="00F23EB8" w:rsidRDefault="00955571" w:rsidP="00E673C4">
      <w:pPr>
        <w:pStyle w:val="SemEspaamento"/>
        <w:numPr>
          <w:ilvl w:val="0"/>
          <w:numId w:val="36"/>
        </w:numPr>
        <w:ind w:left="2268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>Se julgar necessário, d</w:t>
      </w:r>
      <w:r w:rsidR="005E0F5A" w:rsidRPr="005E0F5A">
        <w:rPr>
          <w:rFonts w:ascii="Verdana" w:hAnsi="Verdana"/>
          <w:color w:val="FF0000"/>
          <w:sz w:val="24"/>
        </w:rPr>
        <w:t>efinir</w:t>
      </w:r>
      <w:r w:rsidR="005E0F5A">
        <w:rPr>
          <w:rFonts w:ascii="Verdana" w:hAnsi="Verdana"/>
          <w:color w:val="FF0000"/>
          <w:sz w:val="24"/>
        </w:rPr>
        <w:t xml:space="preserve"> </w:t>
      </w:r>
      <w:r w:rsidR="001A223F">
        <w:rPr>
          <w:rFonts w:ascii="Verdana" w:hAnsi="Verdana"/>
          <w:color w:val="FF0000"/>
          <w:sz w:val="24"/>
        </w:rPr>
        <w:t xml:space="preserve">o que será objeto da vistoria, bem como </w:t>
      </w:r>
      <w:r w:rsidR="006D5A05">
        <w:rPr>
          <w:rFonts w:ascii="Verdana" w:hAnsi="Verdana"/>
          <w:color w:val="FF0000"/>
          <w:sz w:val="24"/>
        </w:rPr>
        <w:t>data/</w:t>
      </w:r>
      <w:r w:rsidR="005E0F5A">
        <w:rPr>
          <w:rFonts w:ascii="Verdana" w:hAnsi="Verdana"/>
          <w:color w:val="FF0000"/>
          <w:sz w:val="24"/>
        </w:rPr>
        <w:t>prazo e local</w:t>
      </w:r>
      <w:r w:rsidR="001A223F">
        <w:rPr>
          <w:rFonts w:ascii="Verdana" w:hAnsi="Verdana"/>
          <w:color w:val="FF0000"/>
          <w:sz w:val="24"/>
        </w:rPr>
        <w:t xml:space="preserve"> </w:t>
      </w:r>
      <w:r w:rsidR="005E0F5A">
        <w:rPr>
          <w:rFonts w:ascii="Verdana" w:hAnsi="Verdana"/>
          <w:color w:val="FF0000"/>
          <w:sz w:val="24"/>
        </w:rPr>
        <w:t xml:space="preserve">para </w:t>
      </w:r>
      <w:r w:rsidR="001A223F">
        <w:rPr>
          <w:rFonts w:ascii="Verdana" w:hAnsi="Verdana"/>
          <w:color w:val="FF0000"/>
          <w:sz w:val="24"/>
        </w:rPr>
        <w:t>sua realização.</w:t>
      </w:r>
    </w:p>
    <w:p w14:paraId="151F290B" w14:textId="77777777" w:rsidR="00F62EB6" w:rsidRDefault="00F62EB6" w:rsidP="00AB09E9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6D521295" w14:textId="77777777" w:rsidR="006D5A05" w:rsidRPr="006D5A05" w:rsidRDefault="00BD413C" w:rsidP="00F61C9E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693083">
        <w:rPr>
          <w:rFonts w:ascii="Verdana" w:hAnsi="Verdana"/>
          <w:sz w:val="24"/>
        </w:rPr>
        <w:t xml:space="preserve">Existem </w:t>
      </w:r>
      <w:r w:rsidR="00F14628" w:rsidRPr="00693083">
        <w:rPr>
          <w:rFonts w:ascii="Verdana" w:hAnsi="Verdana"/>
          <w:sz w:val="24"/>
        </w:rPr>
        <w:t>indicadores</w:t>
      </w:r>
      <w:r w:rsidRPr="00693083">
        <w:rPr>
          <w:rFonts w:ascii="Verdana" w:hAnsi="Verdana"/>
          <w:sz w:val="24"/>
        </w:rPr>
        <w:t xml:space="preserve"> </w:t>
      </w:r>
      <w:r w:rsidR="00FC1AAC" w:rsidRPr="00693083">
        <w:rPr>
          <w:rFonts w:ascii="Verdana" w:hAnsi="Verdana"/>
          <w:sz w:val="24"/>
        </w:rPr>
        <w:t xml:space="preserve">mínimos de desempenho, </w:t>
      </w:r>
      <w:r w:rsidRPr="00693083">
        <w:rPr>
          <w:rFonts w:ascii="Verdana" w:hAnsi="Verdana"/>
          <w:sz w:val="24"/>
        </w:rPr>
        <w:t>quantitativos e/ou qualitativos</w:t>
      </w:r>
      <w:r w:rsidR="00FC1AAC" w:rsidRPr="00693083">
        <w:rPr>
          <w:rFonts w:ascii="Verdana" w:hAnsi="Verdana"/>
          <w:sz w:val="24"/>
        </w:rPr>
        <w:t>,</w:t>
      </w:r>
      <w:r w:rsidRPr="00693083">
        <w:rPr>
          <w:rFonts w:ascii="Verdana" w:hAnsi="Verdana"/>
          <w:sz w:val="24"/>
        </w:rPr>
        <w:t xml:space="preserve"> a serem observados e atingidos pela empresa contratada, </w:t>
      </w:r>
      <w:r w:rsidR="00FC1AAC" w:rsidRPr="00693083">
        <w:rPr>
          <w:rFonts w:ascii="Verdana" w:hAnsi="Verdana"/>
          <w:sz w:val="24"/>
        </w:rPr>
        <w:t>para aferição/medição do serviço</w:t>
      </w:r>
      <w:r w:rsidR="00BA7602">
        <w:rPr>
          <w:rFonts w:ascii="Verdana" w:hAnsi="Verdana"/>
          <w:sz w:val="24"/>
        </w:rPr>
        <w:t>,</w:t>
      </w:r>
      <w:r w:rsidR="00FC1AAC" w:rsidRPr="00693083">
        <w:rPr>
          <w:rFonts w:ascii="Verdana" w:hAnsi="Verdana"/>
          <w:sz w:val="24"/>
        </w:rPr>
        <w:t xml:space="preserve"> para efeito de pagamento com base no resultado?</w:t>
      </w:r>
    </w:p>
    <w:p w14:paraId="0E720807" w14:textId="77777777" w:rsidR="006D5A05" w:rsidRDefault="006D5A05" w:rsidP="006D5A05">
      <w:pPr>
        <w:pStyle w:val="SemEspaamento"/>
        <w:ind w:left="1134"/>
        <w:jc w:val="both"/>
        <w:rPr>
          <w:rFonts w:ascii="Verdana" w:hAnsi="Verdana"/>
          <w:color w:val="FF0000"/>
          <w:sz w:val="24"/>
        </w:rPr>
      </w:pPr>
    </w:p>
    <w:p w14:paraId="506ADB2D" w14:textId="4D072712" w:rsidR="00FD5C5D" w:rsidRPr="00FD5C5D" w:rsidRDefault="00FD5C5D" w:rsidP="00636C45">
      <w:pPr>
        <w:pStyle w:val="SemEspaamento"/>
        <w:numPr>
          <w:ilvl w:val="0"/>
          <w:numId w:val="37"/>
        </w:numPr>
        <w:ind w:left="1701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>Os indicadores mínimos de desempenho devem servir de parâmetro para que a Administração Pública acompanhe a conformidade entre a execução dos serviço e os objetivos delimitados no Projeto Básico.</w:t>
      </w:r>
    </w:p>
    <w:p w14:paraId="4493E26A" w14:textId="77777777" w:rsidR="00FD5C5D" w:rsidRPr="00FD5C5D" w:rsidRDefault="00FD5C5D" w:rsidP="00FD5C5D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0C" w14:textId="1D6FCDB1" w:rsidR="00BD413C" w:rsidRPr="00FD5C5D" w:rsidRDefault="00FD5C5D" w:rsidP="00636C45">
      <w:pPr>
        <w:pStyle w:val="SemEspaamento"/>
        <w:numPr>
          <w:ilvl w:val="0"/>
          <w:numId w:val="37"/>
        </w:numPr>
        <w:ind w:left="1701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color w:val="FF0000"/>
          <w:sz w:val="24"/>
        </w:rPr>
        <w:t>Pode-se definir, a partir desses indicadores</w:t>
      </w:r>
      <w:r w:rsidR="00693083" w:rsidRPr="00693083">
        <w:rPr>
          <w:rFonts w:ascii="Verdana" w:hAnsi="Verdana"/>
          <w:color w:val="FF0000"/>
          <w:sz w:val="24"/>
        </w:rPr>
        <w:t>,</w:t>
      </w:r>
      <w:r>
        <w:rPr>
          <w:rFonts w:ascii="Verdana" w:hAnsi="Verdana"/>
          <w:color w:val="FF0000"/>
          <w:sz w:val="24"/>
        </w:rPr>
        <w:t xml:space="preserve"> que,</w:t>
      </w:r>
      <w:r w:rsidR="00693083" w:rsidRPr="00693083">
        <w:rPr>
          <w:rFonts w:ascii="Verdana" w:hAnsi="Verdana"/>
          <w:color w:val="FF0000"/>
          <w:sz w:val="24"/>
        </w:rPr>
        <w:t xml:space="preserve"> uma vez atingido determinado nível de desconformidade dos serviços, além de descontos nos pagamentos, serão impostas sanções à contratada e/ou a </w:t>
      </w:r>
      <w:r>
        <w:rPr>
          <w:rFonts w:ascii="Verdana" w:hAnsi="Verdana"/>
          <w:color w:val="FF0000"/>
          <w:sz w:val="24"/>
        </w:rPr>
        <w:t>rescisão unilateral do contrato:</w:t>
      </w:r>
      <w:r w:rsidR="00693083" w:rsidRPr="00693083">
        <w:rPr>
          <w:rFonts w:ascii="Verdana" w:hAnsi="Verdana"/>
          <w:color w:val="FF0000"/>
          <w:sz w:val="24"/>
        </w:rPr>
        <w:t xml:space="preserve"> neste caso, deve-se </w:t>
      </w:r>
      <w:r>
        <w:rPr>
          <w:rFonts w:ascii="Verdana" w:hAnsi="Verdana"/>
          <w:color w:val="FF0000"/>
          <w:sz w:val="24"/>
        </w:rPr>
        <w:t>informar</w:t>
      </w:r>
      <w:r w:rsidR="00693083" w:rsidRPr="00693083">
        <w:rPr>
          <w:rFonts w:ascii="Verdana" w:hAnsi="Verdana"/>
          <w:iCs/>
          <w:color w:val="FF0000"/>
          <w:sz w:val="24"/>
        </w:rPr>
        <w:t xml:space="preserve"> quais </w:t>
      </w:r>
      <w:r w:rsidR="00693083" w:rsidRPr="00693083">
        <w:rPr>
          <w:rFonts w:ascii="Verdana" w:hAnsi="Verdana"/>
          <w:iCs/>
          <w:color w:val="FF0000"/>
          <w:sz w:val="24"/>
          <w:lang w:val="x-none"/>
        </w:rPr>
        <w:t xml:space="preserve">registros, controles e informações deverão ser prestados pela contratada, </w:t>
      </w:r>
      <w:r w:rsidR="00693083" w:rsidRPr="00693083">
        <w:rPr>
          <w:rFonts w:ascii="Verdana" w:hAnsi="Verdana"/>
          <w:iCs/>
          <w:color w:val="FF0000"/>
          <w:sz w:val="24"/>
        </w:rPr>
        <w:t xml:space="preserve">e através de qual forma de comunicação serão prestadas (conferir o modelo de </w:t>
      </w:r>
      <w:r w:rsidR="00693083" w:rsidRPr="00FD5C5D">
        <w:rPr>
          <w:rFonts w:ascii="Verdana" w:hAnsi="Verdana"/>
          <w:b/>
          <w:iCs/>
          <w:color w:val="FF0000"/>
          <w:sz w:val="24"/>
        </w:rPr>
        <w:t>Instrumento de Medição de Resultado – IMR</w:t>
      </w:r>
      <w:r w:rsidR="00693083" w:rsidRPr="00693083">
        <w:rPr>
          <w:rFonts w:ascii="Verdana" w:hAnsi="Verdana"/>
          <w:iCs/>
          <w:color w:val="FF0000"/>
          <w:sz w:val="24"/>
        </w:rPr>
        <w:t xml:space="preserve"> em anexo e, se for o caso, readequá-lo).</w:t>
      </w:r>
    </w:p>
    <w:p w14:paraId="59F445E4" w14:textId="08CE1608" w:rsidR="00FD5C5D" w:rsidRPr="006C4CCB" w:rsidRDefault="00FD5C5D" w:rsidP="00FD5C5D">
      <w:pPr>
        <w:pStyle w:val="SemEspaamento"/>
        <w:ind w:left="1701"/>
        <w:jc w:val="both"/>
        <w:rPr>
          <w:rFonts w:ascii="Verdana" w:hAnsi="Verdana"/>
          <w:color w:val="FF0000"/>
          <w:sz w:val="24"/>
        </w:rPr>
      </w:pPr>
    </w:p>
    <w:p w14:paraId="6C092AB3" w14:textId="78B61D4D" w:rsidR="00FD5C5D" w:rsidRPr="006C4CCB" w:rsidRDefault="00FD5C5D" w:rsidP="00636C45">
      <w:pPr>
        <w:pStyle w:val="SemEspaamento"/>
        <w:numPr>
          <w:ilvl w:val="0"/>
          <w:numId w:val="37"/>
        </w:numPr>
        <w:ind w:left="1701" w:hanging="567"/>
        <w:jc w:val="both"/>
        <w:rPr>
          <w:rFonts w:ascii="Verdana" w:hAnsi="Verdana"/>
          <w:color w:val="FF0000"/>
          <w:sz w:val="24"/>
        </w:rPr>
      </w:pPr>
      <w:r w:rsidRPr="006C4CCB">
        <w:rPr>
          <w:rFonts w:ascii="Verdana" w:hAnsi="Verdana"/>
          <w:color w:val="FF0000"/>
          <w:sz w:val="24"/>
        </w:rPr>
        <w:t>Recomenda-se que os indicadores adotados sejam poucos</w:t>
      </w:r>
      <w:r w:rsidR="006C4CCB" w:rsidRPr="006C4CCB">
        <w:rPr>
          <w:rFonts w:ascii="Verdana" w:hAnsi="Verdana"/>
          <w:color w:val="FF0000"/>
          <w:sz w:val="24"/>
        </w:rPr>
        <w:t xml:space="preserve"> (de preferência, não mais que cinco)</w:t>
      </w:r>
      <w:r w:rsidRPr="006C4CCB">
        <w:rPr>
          <w:rFonts w:ascii="Verdana" w:hAnsi="Verdana"/>
          <w:color w:val="FF0000"/>
          <w:sz w:val="24"/>
        </w:rPr>
        <w:t xml:space="preserve"> e de simples interpretação para que os níveis de excelência do(s) serviço pretendido</w:t>
      </w:r>
      <w:r w:rsidR="006C4CCB" w:rsidRPr="006C4CCB">
        <w:rPr>
          <w:rFonts w:ascii="Verdana" w:hAnsi="Verdana"/>
          <w:color w:val="FF0000"/>
          <w:sz w:val="24"/>
        </w:rPr>
        <w:t xml:space="preserve"> </w:t>
      </w:r>
      <w:r w:rsidRPr="006C4CCB">
        <w:rPr>
          <w:rFonts w:ascii="Verdana" w:hAnsi="Verdana"/>
          <w:color w:val="FF0000"/>
          <w:sz w:val="24"/>
        </w:rPr>
        <w:t>seja</w:t>
      </w:r>
      <w:r w:rsidR="006C4CCB" w:rsidRPr="006C4CCB">
        <w:rPr>
          <w:rFonts w:ascii="Verdana" w:hAnsi="Verdana"/>
          <w:color w:val="FF0000"/>
          <w:sz w:val="24"/>
        </w:rPr>
        <w:t>m</w:t>
      </w:r>
      <w:r w:rsidRPr="006C4CCB">
        <w:rPr>
          <w:rFonts w:ascii="Verdana" w:hAnsi="Verdana"/>
          <w:color w:val="FF0000"/>
          <w:sz w:val="24"/>
        </w:rPr>
        <w:t xml:space="preserve"> facilmente </w:t>
      </w:r>
      <w:r w:rsidR="006C4CCB" w:rsidRPr="006C4CCB">
        <w:rPr>
          <w:rFonts w:ascii="Verdana" w:hAnsi="Verdana"/>
          <w:color w:val="FF0000"/>
          <w:sz w:val="24"/>
        </w:rPr>
        <w:t>detectáveis.</w:t>
      </w:r>
    </w:p>
    <w:p w14:paraId="151F290D" w14:textId="77777777" w:rsidR="001E4812" w:rsidRPr="001E4812" w:rsidRDefault="001E4812" w:rsidP="001E4812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2236EFB6" w14:textId="77777777" w:rsidR="006C4CCB" w:rsidRDefault="001E4812" w:rsidP="006C4CCB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Será exigida à empresa contratada a prestação de</w:t>
      </w:r>
      <w:r w:rsidRPr="001E4812">
        <w:rPr>
          <w:rFonts w:ascii="Verdana" w:hAnsi="Verdana"/>
          <w:sz w:val="24"/>
        </w:rPr>
        <w:t xml:space="preserve"> garantia de execução do contrato, nos moldes do art. 56 da Lei nº 8.666, de 1993, com validade durante a execução do contrato e por 90 (noventa) dias após o término da vigência contratual, em valor correspondente a 5% (cinco por ce</w:t>
      </w:r>
      <w:r>
        <w:rPr>
          <w:rFonts w:ascii="Verdana" w:hAnsi="Verdana"/>
          <w:sz w:val="24"/>
        </w:rPr>
        <w:t>nto) do valor total do contrato?</w:t>
      </w:r>
    </w:p>
    <w:p w14:paraId="295279EB" w14:textId="77777777" w:rsidR="006C4CCB" w:rsidRDefault="006C4CCB" w:rsidP="006C4CCB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910" w14:textId="3096EEC3" w:rsidR="001E4812" w:rsidRPr="006C4CCB" w:rsidRDefault="001E4812" w:rsidP="006C4CCB">
      <w:pPr>
        <w:pStyle w:val="SemEspaamento"/>
        <w:numPr>
          <w:ilvl w:val="0"/>
          <w:numId w:val="38"/>
        </w:numPr>
        <w:ind w:left="1701" w:hanging="567"/>
        <w:jc w:val="both"/>
        <w:rPr>
          <w:rFonts w:ascii="Verdana" w:hAnsi="Verdana"/>
          <w:sz w:val="24"/>
        </w:rPr>
      </w:pPr>
      <w:r w:rsidRPr="006C4CCB">
        <w:rPr>
          <w:rFonts w:ascii="Verdana" w:hAnsi="Verdana"/>
          <w:color w:val="FF0000"/>
          <w:sz w:val="24"/>
        </w:rPr>
        <w:t xml:space="preserve">Na administração pública federal, esta exigência apenas é obrigatória em caso de serviços continuados com fornecimento de mão de obra em regime de dedicação exclusiva. </w:t>
      </w:r>
      <w:r w:rsidRPr="006C4CCB">
        <w:rPr>
          <w:rFonts w:ascii="Verdana" w:hAnsi="Verdana"/>
          <w:bCs/>
          <w:iCs/>
          <w:color w:val="FF0000"/>
          <w:sz w:val="24"/>
        </w:rPr>
        <w:t>A garantia serve para assegurar, qualquer que seja a modalidade escolhida (caução em dinheiro ou títulos da dívida pública, seguro-garantia ou fiança bancária), o pagamento de: (1) prejuízos advindos do não cumprimento do objeto do contrato e do não adimplemento das demais obrigações nele previstas; (2) prejuízos diretos causados à Administração decorrentes de culpa ou dolo durante a execução do contrato; (3) multas moratórias e punitivas aplicadas pela Administração à contratada; e (4) obrigações trabalhistas e previdenciárias de qualquer natureza e para com o FGTS, não adimplidas pela contratada, quando couber.</w:t>
      </w:r>
    </w:p>
    <w:p w14:paraId="151F2911" w14:textId="77777777" w:rsidR="003327CA" w:rsidRDefault="003327CA" w:rsidP="00BD413C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912" w14:textId="77777777" w:rsidR="001E4812" w:rsidRDefault="003327CA" w:rsidP="003327CA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3327CA">
        <w:rPr>
          <w:rFonts w:ascii="Verdana" w:hAnsi="Verdana"/>
          <w:sz w:val="24"/>
        </w:rPr>
        <w:t>O conjunto de atividades de gestão e fiscalização compete ao gestor da execução do contrato, podendo ser auxiliado pela fiscalização técnica, administrativa, setorial e pelo público usuário, de acordo com as seguintes disposições:</w:t>
      </w:r>
    </w:p>
    <w:p w14:paraId="151F2913" w14:textId="77777777" w:rsidR="003327CA" w:rsidRPr="003327CA" w:rsidRDefault="003327CA" w:rsidP="003327CA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914" w14:textId="77777777" w:rsidR="003327CA" w:rsidRPr="003327CA" w:rsidRDefault="003327CA" w:rsidP="003327CA">
      <w:pPr>
        <w:pStyle w:val="SemEspaamento"/>
        <w:ind w:left="1134"/>
        <w:jc w:val="both"/>
        <w:rPr>
          <w:rFonts w:ascii="Verdana" w:hAnsi="Verdana"/>
          <w:sz w:val="24"/>
        </w:rPr>
      </w:pPr>
      <w:r w:rsidRPr="003327CA">
        <w:rPr>
          <w:rFonts w:ascii="Verdana" w:hAnsi="Verdana"/>
          <w:sz w:val="24"/>
        </w:rPr>
        <w:t xml:space="preserve">I – </w:t>
      </w:r>
      <w:r w:rsidRPr="00504554">
        <w:rPr>
          <w:rFonts w:ascii="Verdana" w:hAnsi="Verdana"/>
          <w:b/>
          <w:bCs/>
          <w:sz w:val="24"/>
        </w:rPr>
        <w:t>Gestão da Execução do Contrato</w:t>
      </w:r>
      <w:r w:rsidRPr="003327CA">
        <w:rPr>
          <w:rFonts w:ascii="Verdana" w:hAnsi="Verdana"/>
          <w:sz w:val="24"/>
        </w:rPr>
        <w:t xml:space="preserve">: é a coordenação das atividades relacionadas à fiscalização técnica, administrativa, setorial e pelo público usuário, bem como dos atos preparatórios à instrução processual e ao encaminhamento da documentação pertinente ao setor de contratos para formalização dos procedimentos quanto aos aspectos que envolvam a prorrogação, alteração, reequilíbrio, pagamento, eventual aplicação de sanções, extinção do contrato, dentre outros;  </w:t>
      </w:r>
    </w:p>
    <w:p w14:paraId="151F2915" w14:textId="77777777" w:rsidR="003327CA" w:rsidRDefault="003327CA" w:rsidP="003327CA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916" w14:textId="77777777" w:rsidR="003327CA" w:rsidRPr="003327CA" w:rsidRDefault="003327CA" w:rsidP="003327CA">
      <w:pPr>
        <w:pStyle w:val="SemEspaamento"/>
        <w:ind w:left="1134"/>
        <w:jc w:val="both"/>
        <w:rPr>
          <w:rFonts w:ascii="Verdana" w:hAnsi="Verdana"/>
          <w:sz w:val="24"/>
        </w:rPr>
      </w:pPr>
      <w:r w:rsidRPr="003327CA">
        <w:rPr>
          <w:rFonts w:ascii="Verdana" w:hAnsi="Verdana"/>
          <w:sz w:val="24"/>
        </w:rPr>
        <w:t xml:space="preserve">II – </w:t>
      </w:r>
      <w:r w:rsidRPr="00504554">
        <w:rPr>
          <w:rFonts w:ascii="Verdana" w:hAnsi="Verdana"/>
          <w:b/>
          <w:bCs/>
          <w:sz w:val="24"/>
        </w:rPr>
        <w:t>Fiscalização Técnica</w:t>
      </w:r>
      <w:r w:rsidRPr="003327CA">
        <w:rPr>
          <w:rFonts w:ascii="Verdana" w:hAnsi="Verdana"/>
          <w:sz w:val="24"/>
        </w:rPr>
        <w:t xml:space="preserve">:  é o acompanhamento com o objetivo de avaliar a execução do objeto nos moldes contratados e, se for o caso, aferir se a quantidade, qualidade, tempo e modo da prestação dos serviços estão compatíveis com os indicadores de níveis mínimos de desempenho estipulados no ato convocatório, para efeito de pagamento conforme o resultado, podendo ser auxiliado pela fiscalização pelo público usuário;  </w:t>
      </w:r>
    </w:p>
    <w:p w14:paraId="151F2917" w14:textId="77777777" w:rsidR="003327CA" w:rsidRDefault="003327CA" w:rsidP="003327CA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151F2918" w14:textId="77777777" w:rsidR="003327CA" w:rsidRPr="003327CA" w:rsidRDefault="003327CA" w:rsidP="003327CA">
      <w:pPr>
        <w:pStyle w:val="SemEspaamento"/>
        <w:ind w:left="1134"/>
        <w:jc w:val="both"/>
        <w:rPr>
          <w:rFonts w:ascii="Verdana" w:hAnsi="Verdana"/>
          <w:sz w:val="24"/>
        </w:rPr>
      </w:pPr>
      <w:r w:rsidRPr="003327CA">
        <w:rPr>
          <w:rFonts w:ascii="Verdana" w:hAnsi="Verdana"/>
          <w:sz w:val="24"/>
        </w:rPr>
        <w:t xml:space="preserve">III – </w:t>
      </w:r>
      <w:r w:rsidRPr="00504554">
        <w:rPr>
          <w:rFonts w:ascii="Verdana" w:hAnsi="Verdana"/>
          <w:b/>
          <w:bCs/>
          <w:sz w:val="24"/>
        </w:rPr>
        <w:t>Fiscalização Administrativa</w:t>
      </w:r>
      <w:r w:rsidRPr="003327CA">
        <w:rPr>
          <w:rFonts w:ascii="Verdana" w:hAnsi="Verdana"/>
          <w:sz w:val="24"/>
        </w:rPr>
        <w:t xml:space="preserve">:  é o acompanhamento dos aspectos administrativos da execução dos serviços, quanto às obrigações previdenciárias, fiscais e trabalhistas, bem como quanto às providências tempestivas nos casos de inadimplemento;  </w:t>
      </w:r>
    </w:p>
    <w:p w14:paraId="151F2919" w14:textId="77777777" w:rsidR="003327CA" w:rsidRDefault="003327CA" w:rsidP="003327CA">
      <w:pPr>
        <w:pStyle w:val="SemEspaamento"/>
        <w:ind w:left="1134"/>
        <w:jc w:val="both"/>
        <w:rPr>
          <w:rFonts w:ascii="Verdana" w:hAnsi="Verdana"/>
          <w:i/>
          <w:sz w:val="24"/>
        </w:rPr>
      </w:pPr>
    </w:p>
    <w:p w14:paraId="151F291A" w14:textId="77777777" w:rsidR="003327CA" w:rsidRPr="006D459E" w:rsidRDefault="003327CA" w:rsidP="003327CA">
      <w:pPr>
        <w:pStyle w:val="SemEspaamento"/>
        <w:ind w:left="1134"/>
        <w:jc w:val="both"/>
        <w:rPr>
          <w:rFonts w:ascii="Verdana" w:hAnsi="Verdana"/>
          <w:i/>
          <w:sz w:val="24"/>
        </w:rPr>
      </w:pPr>
      <w:r w:rsidRPr="006D459E">
        <w:rPr>
          <w:rFonts w:ascii="Verdana" w:hAnsi="Verdana"/>
          <w:i/>
          <w:sz w:val="24"/>
        </w:rPr>
        <w:t xml:space="preserve">IV – </w:t>
      </w:r>
      <w:r w:rsidRPr="00504554">
        <w:rPr>
          <w:rFonts w:ascii="Verdana" w:hAnsi="Verdana"/>
          <w:b/>
          <w:bCs/>
          <w:i/>
          <w:sz w:val="24"/>
        </w:rPr>
        <w:t>Fiscalização Setorial</w:t>
      </w:r>
      <w:r w:rsidRPr="006D459E">
        <w:rPr>
          <w:rFonts w:ascii="Verdana" w:hAnsi="Verdana"/>
          <w:i/>
          <w:sz w:val="24"/>
        </w:rPr>
        <w:t xml:space="preserve">: é o acompanhamento da execução do contrato nos aspectos técnicos ou administrativos, quando a prestação dos serviços ocorrer concomitantemente em setores distintos ou em unidades desconcentradas de um mesmo órgão ou entidade; e  </w:t>
      </w:r>
    </w:p>
    <w:p w14:paraId="151F291B" w14:textId="77777777" w:rsidR="003327CA" w:rsidRPr="006D459E" w:rsidRDefault="003327CA" w:rsidP="003327CA">
      <w:pPr>
        <w:pStyle w:val="SemEspaamento"/>
        <w:ind w:left="1134"/>
        <w:jc w:val="both"/>
        <w:rPr>
          <w:rFonts w:ascii="Verdana" w:hAnsi="Verdana"/>
          <w:i/>
          <w:sz w:val="24"/>
        </w:rPr>
      </w:pPr>
    </w:p>
    <w:p w14:paraId="358FA64D" w14:textId="77777777" w:rsidR="006C4CCB" w:rsidRDefault="003327CA" w:rsidP="003327CA">
      <w:pPr>
        <w:pStyle w:val="SemEspaamento"/>
        <w:ind w:left="1134"/>
        <w:jc w:val="both"/>
        <w:rPr>
          <w:rFonts w:ascii="Verdana" w:hAnsi="Verdana"/>
          <w:i/>
          <w:sz w:val="24"/>
        </w:rPr>
      </w:pPr>
      <w:r w:rsidRPr="006D459E">
        <w:rPr>
          <w:rFonts w:ascii="Verdana" w:hAnsi="Verdana"/>
          <w:i/>
          <w:sz w:val="24"/>
        </w:rPr>
        <w:t xml:space="preserve">V - </w:t>
      </w:r>
      <w:r w:rsidRPr="00504554">
        <w:rPr>
          <w:rFonts w:ascii="Verdana" w:hAnsi="Verdana"/>
          <w:b/>
          <w:bCs/>
          <w:i/>
          <w:sz w:val="24"/>
        </w:rPr>
        <w:t>Fiscalização pelo Público Usuário</w:t>
      </w:r>
      <w:r w:rsidRPr="006D459E">
        <w:rPr>
          <w:rFonts w:ascii="Verdana" w:hAnsi="Verdana"/>
          <w:i/>
          <w:sz w:val="24"/>
        </w:rPr>
        <w:t>: é o acompanhamento da execução contratual por pesquisa de satisfação junto ao usuário, com o objetivo de aferir os resultados da prestação dos serviços, os recursos</w:t>
      </w:r>
      <w:r w:rsidR="00F14628" w:rsidRPr="006D459E">
        <w:rPr>
          <w:rFonts w:ascii="Verdana" w:hAnsi="Verdana"/>
          <w:i/>
          <w:sz w:val="24"/>
        </w:rPr>
        <w:t xml:space="preserve"> </w:t>
      </w:r>
      <w:r w:rsidRPr="006D459E">
        <w:rPr>
          <w:rFonts w:ascii="Verdana" w:hAnsi="Verdana"/>
          <w:i/>
          <w:sz w:val="24"/>
        </w:rPr>
        <w:t>materiais e os procedimentos utilizados pela contratada, quando for o caso, ou outro fator determinante para a avaliação dos aspectos qualitativos do objeto.</w:t>
      </w:r>
    </w:p>
    <w:p w14:paraId="0C58164F" w14:textId="77777777" w:rsidR="006C4CCB" w:rsidRPr="00092A20" w:rsidRDefault="006C4CCB" w:rsidP="003327CA">
      <w:pPr>
        <w:pStyle w:val="SemEspaamento"/>
        <w:ind w:left="1134"/>
        <w:jc w:val="both"/>
        <w:rPr>
          <w:rFonts w:ascii="Verdana" w:hAnsi="Verdana"/>
          <w:sz w:val="24"/>
        </w:rPr>
      </w:pPr>
    </w:p>
    <w:p w14:paraId="70C18219" w14:textId="77777777" w:rsidR="006C4CCB" w:rsidRPr="006C4CCB" w:rsidRDefault="006C4CCB" w:rsidP="006C4CCB">
      <w:pPr>
        <w:pStyle w:val="SemEspaamento"/>
        <w:numPr>
          <w:ilvl w:val="0"/>
          <w:numId w:val="40"/>
        </w:numPr>
        <w:ind w:left="1701" w:hanging="567"/>
        <w:jc w:val="both"/>
        <w:rPr>
          <w:rFonts w:ascii="Verdana" w:hAnsi="Verdana"/>
          <w:color w:val="FF0000"/>
          <w:sz w:val="24"/>
        </w:rPr>
      </w:pPr>
      <w:r w:rsidRPr="006C4CCB">
        <w:rPr>
          <w:rFonts w:ascii="Verdana" w:hAnsi="Verdana"/>
          <w:color w:val="FF0000"/>
          <w:sz w:val="24"/>
        </w:rPr>
        <w:t>Ante o exposto, ressalta-se a necessidade de o setor demandante da solução pretendida</w:t>
      </w:r>
      <w:r w:rsidRPr="006C4CCB">
        <w:rPr>
          <w:rFonts w:ascii="Verdana" w:hAnsi="Verdana"/>
          <w:i/>
          <w:color w:val="FF0000"/>
          <w:sz w:val="24"/>
        </w:rPr>
        <w:t xml:space="preserve"> </w:t>
      </w:r>
      <w:r w:rsidRPr="006C4CCB">
        <w:rPr>
          <w:rFonts w:ascii="Verdana" w:hAnsi="Verdana"/>
          <w:color w:val="FF0000"/>
          <w:sz w:val="24"/>
        </w:rPr>
        <w:t>nomear o(a) Gestor(a) da Execução do Contrato e os(as) Fiscais Técnicos(as) e Administrativos(as).</w:t>
      </w:r>
    </w:p>
    <w:p w14:paraId="3BC01B04" w14:textId="77777777" w:rsidR="006C4CCB" w:rsidRPr="006C4CCB" w:rsidRDefault="006C4CCB" w:rsidP="00092A20">
      <w:pPr>
        <w:pStyle w:val="SemEspaamento"/>
        <w:ind w:left="1134"/>
        <w:jc w:val="both"/>
        <w:rPr>
          <w:rFonts w:ascii="Verdana" w:hAnsi="Verdana"/>
          <w:color w:val="FF0000"/>
          <w:sz w:val="24"/>
        </w:rPr>
      </w:pPr>
    </w:p>
    <w:p w14:paraId="151F2920" w14:textId="45BE0E3D" w:rsidR="00E467CA" w:rsidRPr="00092A20" w:rsidRDefault="006D459E" w:rsidP="00092A20">
      <w:pPr>
        <w:pStyle w:val="SemEspaamento"/>
        <w:numPr>
          <w:ilvl w:val="0"/>
          <w:numId w:val="40"/>
        </w:numPr>
        <w:ind w:left="1701" w:hanging="567"/>
        <w:jc w:val="both"/>
        <w:rPr>
          <w:rFonts w:ascii="Verdana" w:hAnsi="Verdana"/>
          <w:sz w:val="24"/>
        </w:rPr>
      </w:pPr>
      <w:r w:rsidRPr="006D459E">
        <w:rPr>
          <w:rFonts w:ascii="Verdana" w:hAnsi="Verdana"/>
          <w:color w:val="FF0000"/>
          <w:sz w:val="24"/>
        </w:rPr>
        <w:t>A Fiscalização Setorial e a Fiscalização pelo Público Usuário são facultativas, de modo que o setor demandante deverá nomear pessoas para essas funções apenas se a necessidade d</w:t>
      </w:r>
      <w:r w:rsidR="00487753">
        <w:rPr>
          <w:rFonts w:ascii="Verdana" w:hAnsi="Verdana"/>
          <w:color w:val="FF0000"/>
          <w:sz w:val="24"/>
        </w:rPr>
        <w:t xml:space="preserve">essas modalidades de fiscalização </w:t>
      </w:r>
      <w:r w:rsidRPr="006D459E">
        <w:rPr>
          <w:rFonts w:ascii="Verdana" w:hAnsi="Verdana"/>
          <w:color w:val="FF0000"/>
          <w:sz w:val="24"/>
        </w:rPr>
        <w:t>restar comprovada</w:t>
      </w:r>
      <w:r>
        <w:rPr>
          <w:rStyle w:val="Refdenotaderodap"/>
          <w:rFonts w:ascii="Verdana" w:hAnsi="Verdana"/>
          <w:color w:val="FF0000"/>
          <w:sz w:val="24"/>
        </w:rPr>
        <w:footnoteReference w:id="3"/>
      </w:r>
      <w:r w:rsidRPr="006D459E">
        <w:rPr>
          <w:rFonts w:ascii="Verdana" w:hAnsi="Verdana"/>
          <w:color w:val="FF0000"/>
          <w:sz w:val="24"/>
        </w:rPr>
        <w:t>.</w:t>
      </w:r>
    </w:p>
    <w:p w14:paraId="151F2922" w14:textId="77777777" w:rsidR="00E467CA" w:rsidRDefault="00E467CA" w:rsidP="00092A20">
      <w:pPr>
        <w:pStyle w:val="SemEspaamento"/>
        <w:jc w:val="center"/>
        <w:rPr>
          <w:rFonts w:ascii="Verdana" w:hAnsi="Verdana"/>
          <w:color w:val="FF0000"/>
          <w:sz w:val="24"/>
        </w:rPr>
      </w:pPr>
    </w:p>
    <w:p w14:paraId="66A055B9" w14:textId="77777777" w:rsidR="005F401A" w:rsidRPr="002C62C4" w:rsidRDefault="005F401A" w:rsidP="005F401A">
      <w:pPr>
        <w:pStyle w:val="SemEspaamento"/>
        <w:numPr>
          <w:ilvl w:val="0"/>
          <w:numId w:val="16"/>
        </w:numPr>
        <w:ind w:left="1134" w:hanging="567"/>
        <w:jc w:val="both"/>
        <w:rPr>
          <w:rFonts w:ascii="Verdana" w:hAnsi="Verdana"/>
          <w:sz w:val="24"/>
        </w:rPr>
      </w:pPr>
      <w:r w:rsidRPr="002C62C4">
        <w:rPr>
          <w:rFonts w:ascii="Verdana" w:hAnsi="Verdana"/>
          <w:sz w:val="24"/>
        </w:rPr>
        <w:t xml:space="preserve">Enviar o arquivo digital destes ETP devidamente respondido para o </w:t>
      </w:r>
      <w:r w:rsidRPr="004946C9">
        <w:rPr>
          <w:rFonts w:ascii="Verdana" w:hAnsi="Verdana"/>
          <w:i/>
          <w:sz w:val="24"/>
        </w:rPr>
        <w:t>e-mail</w:t>
      </w:r>
      <w:r w:rsidRPr="002C62C4">
        <w:rPr>
          <w:rFonts w:ascii="Verdana" w:hAnsi="Verdana"/>
          <w:sz w:val="24"/>
        </w:rPr>
        <w:t xml:space="preserve"> </w:t>
      </w:r>
      <w:hyperlink r:id="rId8" w:history="1">
        <w:r w:rsidRPr="009A2782">
          <w:rPr>
            <w:rStyle w:val="Hyperlink"/>
            <w:rFonts w:ascii="Verdana" w:hAnsi="Verdana"/>
            <w:sz w:val="24"/>
          </w:rPr>
          <w:t>epb@saude.am.gov.br</w:t>
        </w:r>
      </w:hyperlink>
      <w:r>
        <w:rPr>
          <w:rFonts w:ascii="Verdana" w:hAnsi="Verdana"/>
          <w:sz w:val="24"/>
        </w:rPr>
        <w:t xml:space="preserve"> e via </w:t>
      </w:r>
      <w:r>
        <w:rPr>
          <w:rFonts w:ascii="Verdana" w:hAnsi="Verdana"/>
          <w:i/>
          <w:sz w:val="24"/>
        </w:rPr>
        <w:t>intranet</w:t>
      </w:r>
      <w:r>
        <w:rPr>
          <w:rFonts w:ascii="Verdana" w:hAnsi="Verdana"/>
          <w:sz w:val="24"/>
        </w:rPr>
        <w:t xml:space="preserve">, para a Gerência de Projetos Básicos, </w:t>
      </w:r>
      <w:r w:rsidRPr="002C62C4">
        <w:rPr>
          <w:rFonts w:ascii="Verdana" w:hAnsi="Verdana"/>
          <w:sz w:val="24"/>
        </w:rPr>
        <w:t xml:space="preserve">com todos os anexos (se houver). </w:t>
      </w:r>
    </w:p>
    <w:p w14:paraId="4FA698DD" w14:textId="77777777" w:rsidR="005F401A" w:rsidRPr="002C62C4" w:rsidRDefault="005F401A" w:rsidP="005F401A">
      <w:pPr>
        <w:pStyle w:val="SemEspaamento"/>
        <w:ind w:left="720"/>
        <w:jc w:val="both"/>
        <w:rPr>
          <w:rFonts w:ascii="Verdana" w:hAnsi="Verdana"/>
          <w:color w:val="FF0000"/>
          <w:sz w:val="24"/>
        </w:rPr>
      </w:pPr>
    </w:p>
    <w:p w14:paraId="45434794" w14:textId="77777777" w:rsidR="005F401A" w:rsidRDefault="005F401A" w:rsidP="005F401A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  <w:r w:rsidRPr="002C62C4">
        <w:rPr>
          <w:rFonts w:ascii="Verdana" w:hAnsi="Verdana"/>
          <w:color w:val="FF0000"/>
          <w:sz w:val="24"/>
        </w:rPr>
        <w:t>Município, data.</w:t>
      </w:r>
    </w:p>
    <w:p w14:paraId="183EB10B" w14:textId="77777777" w:rsidR="005F401A" w:rsidRDefault="005F401A" w:rsidP="005F401A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</w:p>
    <w:p w14:paraId="47B4E20A" w14:textId="77777777" w:rsidR="005F31B0" w:rsidRDefault="005F31B0" w:rsidP="005F401A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</w:p>
    <w:p w14:paraId="25571148" w14:textId="77777777" w:rsidR="005F401A" w:rsidRDefault="005F401A" w:rsidP="005F401A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</w:p>
    <w:p w14:paraId="2E146DC7" w14:textId="77777777" w:rsidR="005F401A" w:rsidRPr="002C62C4" w:rsidRDefault="005F401A" w:rsidP="005F401A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  <w:r w:rsidRPr="002C62C4">
        <w:rPr>
          <w:rFonts w:ascii="Verdana" w:hAnsi="Verdana"/>
          <w:color w:val="FF0000"/>
          <w:sz w:val="24"/>
        </w:rPr>
        <w:t>NOME DO(A) CHEFE DO SETOR DEMANDANTE</w:t>
      </w:r>
    </w:p>
    <w:p w14:paraId="60C43BB0" w14:textId="77777777" w:rsidR="005F401A" w:rsidRPr="002C62C4" w:rsidRDefault="005F401A" w:rsidP="005F401A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  <w:r w:rsidRPr="002C62C4">
        <w:rPr>
          <w:rFonts w:ascii="Verdana" w:hAnsi="Verdana"/>
          <w:color w:val="FF0000"/>
          <w:sz w:val="24"/>
        </w:rPr>
        <w:t>______________________________________</w:t>
      </w:r>
    </w:p>
    <w:p w14:paraId="6332CB51" w14:textId="77777777" w:rsidR="005F401A" w:rsidRPr="002C62C4" w:rsidRDefault="005F401A" w:rsidP="005F401A">
      <w:pPr>
        <w:pStyle w:val="SemEspaamento"/>
        <w:ind w:left="720"/>
        <w:jc w:val="center"/>
        <w:rPr>
          <w:rFonts w:ascii="Verdana" w:hAnsi="Verdana"/>
          <w:color w:val="FF0000"/>
          <w:sz w:val="24"/>
        </w:rPr>
      </w:pPr>
      <w:r w:rsidRPr="002C62C4">
        <w:rPr>
          <w:rFonts w:ascii="Verdana" w:hAnsi="Verdana"/>
          <w:color w:val="FF0000"/>
          <w:sz w:val="24"/>
        </w:rPr>
        <w:t>NOME DO SETOR DEMANDANTE</w:t>
      </w:r>
    </w:p>
    <w:p w14:paraId="151F2923" w14:textId="77777777" w:rsidR="00E467CA" w:rsidRDefault="00E467CA" w:rsidP="00092A20">
      <w:pPr>
        <w:pStyle w:val="SemEspaamento"/>
        <w:jc w:val="center"/>
        <w:rPr>
          <w:rFonts w:ascii="Verdana" w:hAnsi="Verdana"/>
          <w:color w:val="FF0000"/>
          <w:sz w:val="24"/>
        </w:rPr>
      </w:pPr>
    </w:p>
    <w:p w14:paraId="151F2924" w14:textId="77777777" w:rsidR="00E467CA" w:rsidRDefault="00E467CA" w:rsidP="006D459E">
      <w:pPr>
        <w:pStyle w:val="SemEspaamento"/>
        <w:jc w:val="center"/>
        <w:rPr>
          <w:rFonts w:ascii="Verdana" w:hAnsi="Verdana"/>
          <w:color w:val="FF0000"/>
          <w:sz w:val="24"/>
        </w:rPr>
      </w:pPr>
    </w:p>
    <w:p w14:paraId="151F2925" w14:textId="77777777" w:rsidR="00E467CA" w:rsidRDefault="00E467CA" w:rsidP="006D459E">
      <w:pPr>
        <w:pStyle w:val="SemEspaamento"/>
        <w:jc w:val="center"/>
        <w:rPr>
          <w:rFonts w:ascii="Verdana" w:hAnsi="Verdana"/>
          <w:color w:val="FF0000"/>
          <w:sz w:val="24"/>
        </w:rPr>
      </w:pPr>
    </w:p>
    <w:p w14:paraId="151F2926" w14:textId="77777777" w:rsidR="00E467CA" w:rsidRDefault="00E467CA" w:rsidP="006D459E">
      <w:pPr>
        <w:pStyle w:val="SemEspaamento"/>
        <w:jc w:val="center"/>
        <w:rPr>
          <w:rFonts w:ascii="Verdana" w:hAnsi="Verdana"/>
          <w:color w:val="FF0000"/>
          <w:sz w:val="24"/>
        </w:rPr>
      </w:pPr>
    </w:p>
    <w:p w14:paraId="151F2927" w14:textId="77777777" w:rsidR="00E467CA" w:rsidRDefault="00E467CA" w:rsidP="006D459E">
      <w:pPr>
        <w:pStyle w:val="SemEspaamento"/>
        <w:jc w:val="center"/>
        <w:rPr>
          <w:rFonts w:ascii="Verdana" w:hAnsi="Verdana"/>
          <w:color w:val="FF0000"/>
          <w:sz w:val="24"/>
        </w:rPr>
      </w:pPr>
    </w:p>
    <w:p w14:paraId="3C7CD339" w14:textId="77777777" w:rsidR="005F401A" w:rsidRDefault="005F401A" w:rsidP="00955571">
      <w:pPr>
        <w:pStyle w:val="SemEspaamento"/>
        <w:rPr>
          <w:rFonts w:ascii="Verdana" w:hAnsi="Verdana"/>
          <w:color w:val="FF0000"/>
          <w:sz w:val="24"/>
        </w:rPr>
      </w:pPr>
    </w:p>
    <w:p w14:paraId="151F293D" w14:textId="77777777" w:rsidR="006D459E" w:rsidRPr="00E467CA" w:rsidRDefault="006D459E" w:rsidP="006D459E">
      <w:pPr>
        <w:pStyle w:val="SemEspaamento"/>
        <w:jc w:val="center"/>
        <w:rPr>
          <w:rFonts w:ascii="Verdana" w:hAnsi="Verdana"/>
          <w:b/>
          <w:sz w:val="24"/>
        </w:rPr>
      </w:pPr>
      <w:r w:rsidRPr="00E467CA">
        <w:rPr>
          <w:rFonts w:ascii="Verdana" w:hAnsi="Verdana"/>
          <w:b/>
          <w:sz w:val="24"/>
        </w:rPr>
        <w:t>ANEXO</w:t>
      </w:r>
    </w:p>
    <w:p w14:paraId="151F293E" w14:textId="77777777" w:rsidR="006D459E" w:rsidRPr="006D459E" w:rsidRDefault="006D459E" w:rsidP="006D459E">
      <w:pPr>
        <w:pStyle w:val="SemEspaamento"/>
        <w:rPr>
          <w:rFonts w:ascii="Verdana" w:hAnsi="Verdana"/>
          <w:color w:val="FF0000"/>
          <w:sz w:val="24"/>
          <w:lang w:val="x-none"/>
        </w:rPr>
      </w:pPr>
    </w:p>
    <w:p w14:paraId="151F293F" w14:textId="77777777" w:rsidR="00F50A8B" w:rsidRPr="00F50A8B" w:rsidRDefault="00F50A8B" w:rsidP="00AB264D">
      <w:pPr>
        <w:spacing w:line="360" w:lineRule="auto"/>
        <w:jc w:val="center"/>
        <w:rPr>
          <w:rFonts w:ascii="Verdana" w:hAnsi="Verdana"/>
          <w:b/>
          <w:sz w:val="20"/>
          <w:u w:val="single"/>
        </w:rPr>
      </w:pPr>
      <w:r w:rsidRPr="00F50A8B">
        <w:rPr>
          <w:rFonts w:ascii="Verdana" w:hAnsi="Verdana"/>
          <w:b/>
          <w:sz w:val="20"/>
          <w:u w:val="single"/>
        </w:rPr>
        <w:t>MODELO</w:t>
      </w:r>
      <w:r w:rsidR="00E467CA">
        <w:rPr>
          <w:rFonts w:ascii="Verdana" w:hAnsi="Verdana"/>
          <w:b/>
          <w:sz w:val="20"/>
          <w:u w:val="single"/>
        </w:rPr>
        <w:t xml:space="preserve"> DE INSTRUMENTO DE MEDIÇÃO DE RESULTADO (IMR)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6988"/>
      </w:tblGrid>
      <w:tr w:rsidR="00F50A8B" w:rsidRPr="00E467CA" w14:paraId="151F2941" w14:textId="77777777" w:rsidTr="00F61C9E"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0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Indicador</w:t>
            </w:r>
          </w:p>
        </w:tc>
      </w:tr>
      <w:tr w:rsidR="00F50A8B" w:rsidRPr="00E467CA" w14:paraId="151F2943" w14:textId="77777777" w:rsidTr="00F61C9E"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2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Nº + Título do Indicador que será utilizado</w:t>
            </w:r>
          </w:p>
        </w:tc>
      </w:tr>
      <w:tr w:rsidR="00F50A8B" w:rsidRPr="00E467CA" w14:paraId="151F2946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4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Item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5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Descrição</w:t>
            </w:r>
          </w:p>
        </w:tc>
      </w:tr>
      <w:tr w:rsidR="00F50A8B" w:rsidRPr="00E467CA" w14:paraId="151F2949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7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Finalidade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8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4C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A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Meta a cumprir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B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4F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D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Instrumento de medição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4E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52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0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Forma de acompanhamento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1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55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3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Periodicidade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4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58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6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Mecanismo de Cálculo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7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5B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9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Início de Vigência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A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5E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C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Faixas de ajuste no pagamento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D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61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5F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Sanções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0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64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2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Observações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3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66" w14:textId="77777777" w:rsidTr="00F61C9E"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5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  <w:tr w:rsidR="00F50A8B" w:rsidRPr="00E467CA" w14:paraId="151F2968" w14:textId="77777777" w:rsidTr="00F61C9E"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7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F616B7">
              <w:rPr>
                <w:rFonts w:ascii="Verdana" w:hAnsi="Verdana"/>
                <w:b/>
                <w:bCs/>
                <w:color w:val="FF0000"/>
                <w:sz w:val="20"/>
              </w:rPr>
              <w:t>Exemplo de Indicador</w:t>
            </w:r>
          </w:p>
        </w:tc>
      </w:tr>
      <w:tr w:rsidR="00F50A8B" w:rsidRPr="00E467CA" w14:paraId="151F296A" w14:textId="77777777" w:rsidTr="00F61C9E"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9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 xml:space="preserve">Nº 01 </w:t>
            </w:r>
            <w:r w:rsidRPr="00F616B7">
              <w:rPr>
                <w:rFonts w:ascii="Verdana" w:hAnsi="Verdana"/>
                <w:b/>
                <w:bCs/>
                <w:color w:val="FF0000"/>
                <w:sz w:val="20"/>
              </w:rPr>
              <w:t xml:space="preserve">Prazo de atendimento de demandas </w:t>
            </w:r>
            <w:r w:rsidRPr="00E467CA">
              <w:rPr>
                <w:rFonts w:ascii="Verdana" w:hAnsi="Verdana"/>
                <w:b/>
                <w:bCs/>
                <w:sz w:val="20"/>
              </w:rPr>
              <w:t>(OS).</w:t>
            </w:r>
          </w:p>
        </w:tc>
      </w:tr>
      <w:tr w:rsidR="00F50A8B" w:rsidRPr="00E467CA" w14:paraId="151F296D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B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Item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C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Descrição</w:t>
            </w:r>
          </w:p>
        </w:tc>
      </w:tr>
      <w:tr w:rsidR="00F50A8B" w:rsidRPr="00E467CA" w14:paraId="151F2970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E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Finalidade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6F" w14:textId="5B4151B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F616B7">
              <w:rPr>
                <w:rFonts w:ascii="Verdana" w:hAnsi="Verdana"/>
                <w:color w:val="FF0000"/>
                <w:sz w:val="20"/>
              </w:rPr>
              <w:t>Garantir um atendimento célere às demandas do órgão</w:t>
            </w:r>
            <w:r w:rsidRPr="00E467CA">
              <w:rPr>
                <w:rFonts w:ascii="Verdana" w:hAnsi="Verdana"/>
                <w:sz w:val="20"/>
              </w:rPr>
              <w:t>.</w:t>
            </w:r>
          </w:p>
        </w:tc>
      </w:tr>
      <w:tr w:rsidR="00F50A8B" w:rsidRPr="00E467CA" w14:paraId="151F2973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1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Meta a cumprir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2" w14:textId="4FE69079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F616B7">
              <w:rPr>
                <w:rFonts w:ascii="Verdana" w:hAnsi="Verdana"/>
                <w:color w:val="FF0000"/>
                <w:sz w:val="20"/>
              </w:rPr>
              <w:t>24h</w:t>
            </w:r>
          </w:p>
        </w:tc>
      </w:tr>
      <w:tr w:rsidR="00F50A8B" w:rsidRPr="00E467CA" w14:paraId="151F2976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4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Instrumento de medição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5" w14:textId="64349289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Sistema informatizado de solicitação de serviços - Ordem de Serviço (OS) eletrônica.</w:t>
            </w:r>
          </w:p>
        </w:tc>
      </w:tr>
      <w:tr w:rsidR="00F50A8B" w:rsidRPr="00E467CA" w14:paraId="151F2979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7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Forma de acompanhamento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8" w14:textId="655E0D64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Pelo sistema.</w:t>
            </w:r>
          </w:p>
        </w:tc>
      </w:tr>
      <w:tr w:rsidR="00F50A8B" w:rsidRPr="00E467CA" w14:paraId="151F297C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A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Periodicidade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B" w14:textId="665EFEB3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Mensal</w:t>
            </w:r>
          </w:p>
        </w:tc>
      </w:tr>
      <w:tr w:rsidR="00F50A8B" w:rsidRPr="00E467CA" w14:paraId="151F297F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D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Mecanismo de Cálculo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7E" w14:textId="04BC94D2" w:rsidR="00F50A8B" w:rsidRPr="00E467CA" w:rsidRDefault="00F50A8B" w:rsidP="00045673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Cada OS será verificada e valorada individualmente. Nº de horas no atendimento/24h = X</w:t>
            </w:r>
          </w:p>
        </w:tc>
      </w:tr>
      <w:tr w:rsidR="00F50A8B" w:rsidRPr="00E467CA" w14:paraId="151F2982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80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Início de Vigência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81" w14:textId="51A5F2C3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Data da assinatura do contrato.</w:t>
            </w:r>
          </w:p>
        </w:tc>
      </w:tr>
      <w:tr w:rsidR="00F50A8B" w:rsidRPr="00E467CA" w14:paraId="151F2987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83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Faixas de ajuste no pagamento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84" w14:textId="77777777" w:rsidR="00F50A8B" w:rsidRPr="00045673" w:rsidRDefault="00F50A8B" w:rsidP="00F61C9E">
            <w:pPr>
              <w:spacing w:line="360" w:lineRule="auto"/>
              <w:rPr>
                <w:rFonts w:ascii="Verdana" w:hAnsi="Verdana"/>
                <w:color w:val="FF0000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X até 1 - 100% do valor da OS</w:t>
            </w:r>
          </w:p>
          <w:p w14:paraId="151F2985" w14:textId="77777777" w:rsidR="00F50A8B" w:rsidRPr="00045673" w:rsidRDefault="00F50A8B" w:rsidP="00F61C9E">
            <w:pPr>
              <w:spacing w:line="360" w:lineRule="auto"/>
              <w:rPr>
                <w:rFonts w:ascii="Verdana" w:hAnsi="Verdana"/>
                <w:color w:val="FF0000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De 1 a 1,5 - 90% do valor da OS</w:t>
            </w:r>
          </w:p>
          <w:p w14:paraId="151F2986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De 1,5 a 2 - 80% do valor da OS</w:t>
            </w:r>
          </w:p>
        </w:tc>
      </w:tr>
      <w:tr w:rsidR="00F50A8B" w:rsidRPr="00E467CA" w14:paraId="151F298B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88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Sanções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89" w14:textId="77777777" w:rsidR="00F50A8B" w:rsidRPr="00045673" w:rsidRDefault="00F50A8B" w:rsidP="00F61C9E">
            <w:pPr>
              <w:spacing w:line="360" w:lineRule="auto"/>
              <w:rPr>
                <w:rFonts w:ascii="Verdana" w:hAnsi="Verdana"/>
                <w:color w:val="FF0000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20% das OS acima de 2 - multa de XX</w:t>
            </w:r>
          </w:p>
          <w:p w14:paraId="151F298A" w14:textId="77777777" w:rsidR="00F50A8B" w:rsidRPr="00045673" w:rsidRDefault="00F50A8B" w:rsidP="00F61C9E">
            <w:pPr>
              <w:spacing w:line="360" w:lineRule="auto"/>
              <w:rPr>
                <w:rFonts w:ascii="Verdana" w:hAnsi="Verdana"/>
                <w:color w:val="FF0000"/>
                <w:sz w:val="20"/>
              </w:rPr>
            </w:pPr>
            <w:r w:rsidRPr="00045673">
              <w:rPr>
                <w:rFonts w:ascii="Verdana" w:hAnsi="Verdana"/>
                <w:color w:val="FF0000"/>
                <w:sz w:val="20"/>
              </w:rPr>
              <w:t>30% das OS acima de 2 - multa de XX + rescisão contratual</w:t>
            </w:r>
          </w:p>
        </w:tc>
      </w:tr>
      <w:tr w:rsidR="00F50A8B" w:rsidRPr="00E467CA" w14:paraId="151F298E" w14:textId="77777777" w:rsidTr="00F61C9E">
        <w:tc>
          <w:tcPr>
            <w:tcW w:w="137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8C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b/>
                <w:bCs/>
                <w:sz w:val="20"/>
              </w:rPr>
              <w:t>Observações</w:t>
            </w:r>
          </w:p>
        </w:tc>
        <w:tc>
          <w:tcPr>
            <w:tcW w:w="362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F298D" w14:textId="77777777" w:rsidR="00F50A8B" w:rsidRPr="00E467CA" w:rsidRDefault="00F50A8B" w:rsidP="00F61C9E">
            <w:pPr>
              <w:spacing w:line="360" w:lineRule="auto"/>
              <w:rPr>
                <w:rFonts w:ascii="Verdana" w:hAnsi="Verdana"/>
                <w:sz w:val="20"/>
              </w:rPr>
            </w:pPr>
            <w:r w:rsidRPr="00E467CA">
              <w:rPr>
                <w:rFonts w:ascii="Verdana" w:hAnsi="Verdana"/>
                <w:sz w:val="20"/>
              </w:rPr>
              <w:t> </w:t>
            </w:r>
          </w:p>
        </w:tc>
      </w:tr>
    </w:tbl>
    <w:p w14:paraId="151F298F" w14:textId="77777777" w:rsidR="003327CA" w:rsidRDefault="003327CA" w:rsidP="00E467CA">
      <w:pPr>
        <w:rPr>
          <w:rFonts w:ascii="Verdana" w:hAnsi="Verdana"/>
          <w:sz w:val="24"/>
        </w:rPr>
      </w:pPr>
    </w:p>
    <w:p w14:paraId="151F2990" w14:textId="77777777" w:rsidR="00E467CA" w:rsidRDefault="00E467CA" w:rsidP="00E467CA">
      <w:pPr>
        <w:rPr>
          <w:rFonts w:ascii="Verdana" w:hAnsi="Verdana"/>
          <w:sz w:val="24"/>
        </w:rPr>
      </w:pPr>
    </w:p>
    <w:p w14:paraId="151F2991" w14:textId="77777777" w:rsidR="00E467CA" w:rsidRPr="006D459E" w:rsidRDefault="00E467CA" w:rsidP="00E467CA">
      <w:pPr>
        <w:pStyle w:val="SemEspaamento"/>
        <w:rPr>
          <w:rFonts w:ascii="Verdana" w:hAnsi="Verdana"/>
          <w:iCs/>
          <w:color w:val="FF0000"/>
          <w:sz w:val="24"/>
        </w:rPr>
      </w:pPr>
      <w:r w:rsidRPr="006D459E">
        <w:rPr>
          <w:rFonts w:ascii="Verdana" w:hAnsi="Verdana"/>
          <w:iCs/>
          <w:color w:val="FF0000"/>
          <w:sz w:val="24"/>
        </w:rPr>
        <w:t>INSTRUÇÕES:</w:t>
      </w:r>
    </w:p>
    <w:p w14:paraId="151F2992" w14:textId="77777777" w:rsidR="00E467CA" w:rsidRDefault="00E467CA" w:rsidP="00E467CA">
      <w:pPr>
        <w:pStyle w:val="SemEspaamento"/>
        <w:rPr>
          <w:rFonts w:ascii="Verdana" w:hAnsi="Verdana"/>
          <w:i/>
          <w:iCs/>
          <w:color w:val="FF0000"/>
          <w:sz w:val="24"/>
        </w:rPr>
      </w:pPr>
    </w:p>
    <w:p w14:paraId="151F2993" w14:textId="77777777" w:rsidR="00E467CA" w:rsidRDefault="00E467CA" w:rsidP="00E467CA">
      <w:pPr>
        <w:pStyle w:val="SemEspaamento"/>
        <w:jc w:val="both"/>
        <w:rPr>
          <w:rFonts w:ascii="Verdana" w:hAnsi="Verdana"/>
          <w:i/>
          <w:iCs/>
          <w:color w:val="FF0000"/>
          <w:sz w:val="24"/>
          <w:lang w:val="x-none"/>
        </w:rPr>
      </w:pPr>
      <w:r w:rsidRPr="006D459E">
        <w:rPr>
          <w:rFonts w:ascii="Verdana" w:hAnsi="Verdana"/>
          <w:i/>
          <w:iCs/>
          <w:color w:val="FF0000"/>
          <w:sz w:val="24"/>
          <w:lang w:val="x-none"/>
        </w:rPr>
        <w:t>O Instrumento de Medição do Resultado (IMR) ou seu substituto, quando utilizado, deve ocorrer, preferencialmente, por meio de ferramentas informatizadas para verificação do resultado, quanto à q</w:t>
      </w:r>
      <w:r>
        <w:rPr>
          <w:rFonts w:ascii="Verdana" w:hAnsi="Verdana"/>
          <w:i/>
          <w:iCs/>
          <w:color w:val="FF0000"/>
          <w:sz w:val="24"/>
          <w:lang w:val="x-none"/>
        </w:rPr>
        <w:t>ualidade e quantidade pactuadas:</w:t>
      </w:r>
    </w:p>
    <w:p w14:paraId="151F2994" w14:textId="77777777" w:rsidR="00E467CA" w:rsidRPr="006D459E" w:rsidRDefault="00E467CA" w:rsidP="00E467CA">
      <w:pPr>
        <w:pStyle w:val="SemEspaamento"/>
        <w:jc w:val="both"/>
        <w:rPr>
          <w:rFonts w:ascii="Verdana" w:hAnsi="Verdana"/>
          <w:i/>
          <w:iCs/>
          <w:color w:val="FF0000"/>
          <w:sz w:val="24"/>
          <w:lang w:val="x-none"/>
        </w:rPr>
      </w:pPr>
    </w:p>
    <w:p w14:paraId="151F2995" w14:textId="77777777" w:rsidR="00E467CA" w:rsidRDefault="00E467CA" w:rsidP="00E467CA">
      <w:pPr>
        <w:pStyle w:val="SemEspaamento"/>
        <w:numPr>
          <w:ilvl w:val="0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6D459E">
        <w:rPr>
          <w:rFonts w:ascii="Verdana" w:hAnsi="Verdana"/>
          <w:iCs/>
          <w:color w:val="FF0000"/>
          <w:sz w:val="24"/>
          <w:lang w:val="x-none"/>
        </w:rPr>
        <w:t>Definir os demais mecanismos de controle que serão utilizados para fiscalizar a prestação dos serviços, adequados à natureza dos serviços, quando couber;</w:t>
      </w:r>
    </w:p>
    <w:p w14:paraId="151F2996" w14:textId="77777777" w:rsidR="00E467CA" w:rsidRDefault="00E467CA" w:rsidP="00E467CA">
      <w:pPr>
        <w:pStyle w:val="SemEspaamento"/>
        <w:ind w:left="72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97" w14:textId="77777777" w:rsidR="00E467CA" w:rsidRDefault="00E467CA" w:rsidP="00E467CA">
      <w:pPr>
        <w:pStyle w:val="SemEspaamento"/>
        <w:numPr>
          <w:ilvl w:val="0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6D459E">
        <w:rPr>
          <w:rFonts w:ascii="Verdana" w:hAnsi="Verdana"/>
          <w:iCs/>
          <w:color w:val="FF0000"/>
          <w:sz w:val="24"/>
          <w:lang w:val="x-none"/>
        </w:rPr>
        <w:t>Definir o método de avaliação da conformidade dos produtos e dos serviços entregues com relação às especificações técnicas e com a proposta da contratada, com vistas ao recebimento provisório;</w:t>
      </w:r>
    </w:p>
    <w:p w14:paraId="151F2998" w14:textId="77777777" w:rsidR="00E467CA" w:rsidRDefault="00E467CA" w:rsidP="00E467CA">
      <w:pPr>
        <w:pStyle w:val="SemEspaamento"/>
        <w:ind w:left="72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99" w14:textId="77777777" w:rsidR="00E467CA" w:rsidRDefault="00E467CA" w:rsidP="00E467CA">
      <w:pPr>
        <w:pStyle w:val="SemEspaamento"/>
        <w:numPr>
          <w:ilvl w:val="0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6D459E">
        <w:rPr>
          <w:rFonts w:ascii="Verdana" w:hAnsi="Verdana"/>
          <w:iCs/>
          <w:color w:val="FF0000"/>
          <w:sz w:val="24"/>
          <w:lang w:val="x-none"/>
        </w:rPr>
        <w:t>Definir o método de avaliação da conformidade dos produtos e dos serviços entregues com relação aos termos contratuais e com a proposta da contratada, com vistas ao recebimento definitivo;</w:t>
      </w:r>
    </w:p>
    <w:p w14:paraId="151F299A" w14:textId="77777777" w:rsidR="00E467CA" w:rsidRDefault="00E467CA" w:rsidP="00E467CA">
      <w:pPr>
        <w:pStyle w:val="SemEspaamento"/>
        <w:ind w:left="72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9B" w14:textId="77777777" w:rsidR="00E467CA" w:rsidRDefault="00E467CA" w:rsidP="00E467CA">
      <w:pPr>
        <w:pStyle w:val="SemEspaamento"/>
        <w:numPr>
          <w:ilvl w:val="0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6D459E">
        <w:rPr>
          <w:rFonts w:ascii="Verdana" w:hAnsi="Verdana"/>
          <w:iCs/>
          <w:color w:val="FF0000"/>
          <w:sz w:val="24"/>
          <w:lang w:val="x-none"/>
        </w:rPr>
        <w:t>Definir o procedimento de verificação do cumprimento da obrigação da contratada de manter todas as condições nas quais o contrato foi assinado durante todo o seu período de execução;</w:t>
      </w:r>
    </w:p>
    <w:p w14:paraId="151F299C" w14:textId="77777777" w:rsidR="00E467CA" w:rsidRDefault="00E467CA" w:rsidP="00E467CA">
      <w:pPr>
        <w:pStyle w:val="SemEspaamento"/>
        <w:ind w:left="72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9D" w14:textId="77777777" w:rsidR="00E467CA" w:rsidRDefault="00E467CA" w:rsidP="00E467CA">
      <w:pPr>
        <w:pStyle w:val="SemEspaamento"/>
        <w:numPr>
          <w:ilvl w:val="0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6D459E">
        <w:rPr>
          <w:rFonts w:ascii="Verdana" w:hAnsi="Verdana"/>
          <w:iCs/>
          <w:color w:val="FF0000"/>
          <w:sz w:val="24"/>
          <w:lang w:val="x-none"/>
        </w:rPr>
        <w:t xml:space="preserve">Definir uma lista de verificação para os aceites provisório e definitivo, a serem usadas durante a fiscalização do contrato, se for o caso; </w:t>
      </w:r>
    </w:p>
    <w:p w14:paraId="151F299E" w14:textId="77777777" w:rsidR="00E467CA" w:rsidRDefault="00E467CA" w:rsidP="00E467CA">
      <w:pPr>
        <w:pStyle w:val="SemEspaamento"/>
        <w:ind w:left="72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9F" w14:textId="550887CF" w:rsidR="00E467CA" w:rsidRPr="001E4812" w:rsidRDefault="00E467CA" w:rsidP="00E467CA">
      <w:pPr>
        <w:pStyle w:val="SemEspaamento"/>
        <w:numPr>
          <w:ilvl w:val="0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6D459E">
        <w:rPr>
          <w:rFonts w:ascii="Verdana" w:hAnsi="Verdana"/>
          <w:iCs/>
          <w:color w:val="FF0000"/>
          <w:sz w:val="24"/>
          <w:lang w:val="x-none"/>
        </w:rPr>
        <w:t xml:space="preserve">Definir as sanções, glosas e condições para rescisão contratual, devidamente justificadas e os respectivos procedimentos para aplicação, utilizando como referencial os modelos de minutas padronizados de atos convocatórios e contratos da </w:t>
      </w:r>
      <w:r w:rsidR="00F71B80">
        <w:rPr>
          <w:rFonts w:ascii="Verdana" w:hAnsi="Verdana"/>
          <w:iCs/>
          <w:color w:val="FF0000"/>
          <w:sz w:val="24"/>
        </w:rPr>
        <w:t>SUSAM</w:t>
      </w:r>
      <w:r w:rsidRPr="006D459E">
        <w:rPr>
          <w:rFonts w:ascii="Verdana" w:hAnsi="Verdana"/>
          <w:iCs/>
          <w:color w:val="FF0000"/>
          <w:sz w:val="24"/>
          <w:lang w:val="x-none"/>
        </w:rPr>
        <w:t>, bem como às seguintes diretrizes:</w:t>
      </w:r>
      <w:r>
        <w:rPr>
          <w:rFonts w:ascii="Verdana" w:hAnsi="Verdana"/>
          <w:iCs/>
          <w:color w:val="FF0000"/>
          <w:sz w:val="24"/>
        </w:rPr>
        <w:t xml:space="preserve"> [...]</w:t>
      </w:r>
    </w:p>
    <w:p w14:paraId="151F29A0" w14:textId="77777777" w:rsidR="00E467CA" w:rsidRDefault="00E467CA" w:rsidP="00E467CA">
      <w:pPr>
        <w:pStyle w:val="SemEspaamento"/>
        <w:ind w:left="1418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A1" w14:textId="77777777" w:rsidR="00E467CA" w:rsidRDefault="00E467CA" w:rsidP="00E467CA">
      <w:pPr>
        <w:pStyle w:val="SemEspaamento"/>
        <w:numPr>
          <w:ilvl w:val="1"/>
          <w:numId w:val="22"/>
        </w:numPr>
        <w:ind w:left="1418" w:hanging="284"/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6D459E">
        <w:rPr>
          <w:rFonts w:ascii="Verdana" w:hAnsi="Verdana"/>
          <w:iCs/>
          <w:color w:val="FF0000"/>
          <w:sz w:val="24"/>
          <w:lang w:val="x-none"/>
        </w:rPr>
        <w:t>relacionar as sanções previstas nas Leis nº 8.666, de 1993, e nº 10.520, de 2002, conforme o caso, às obrigações da contratada estabelecidas no modelo de execução do objeto;</w:t>
      </w:r>
      <w:r w:rsidRPr="006D459E">
        <w:rPr>
          <w:rFonts w:ascii="Verdana" w:hAnsi="Verdana"/>
          <w:iCs/>
          <w:color w:val="FF0000"/>
          <w:sz w:val="24"/>
        </w:rPr>
        <w:t xml:space="preserve"> </w:t>
      </w:r>
    </w:p>
    <w:p w14:paraId="151F29A2" w14:textId="77777777" w:rsidR="00E467CA" w:rsidRDefault="00E467CA" w:rsidP="00E467CA">
      <w:pPr>
        <w:pStyle w:val="SemEspaamento"/>
        <w:ind w:left="1418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A3" w14:textId="0D4A34A1" w:rsidR="00E467CA" w:rsidRPr="006D459E" w:rsidRDefault="00E467CA" w:rsidP="00E467CA">
      <w:pPr>
        <w:pStyle w:val="SemEspaamento"/>
        <w:numPr>
          <w:ilvl w:val="1"/>
          <w:numId w:val="22"/>
        </w:numPr>
        <w:ind w:left="1418" w:hanging="284"/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6D459E">
        <w:rPr>
          <w:rFonts w:ascii="Verdana" w:hAnsi="Verdana"/>
          <w:iCs/>
          <w:color w:val="FF0000"/>
          <w:sz w:val="24"/>
          <w:lang w:val="x-none"/>
        </w:rPr>
        <w:t>definir o rigor das sanções, de modo que sejam proporcionais ao prejuízo causado pela desconformidade;</w:t>
      </w:r>
    </w:p>
    <w:p w14:paraId="151F29A4" w14:textId="77777777" w:rsidR="00E467CA" w:rsidRDefault="00E467CA" w:rsidP="00E467CA">
      <w:pPr>
        <w:pStyle w:val="SemEspaamento"/>
        <w:ind w:left="72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A5" w14:textId="77777777" w:rsidR="00E467CA" w:rsidRDefault="00E467CA" w:rsidP="00E467CA">
      <w:pPr>
        <w:pStyle w:val="SemEspaamento"/>
        <w:numPr>
          <w:ilvl w:val="0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1E4812">
        <w:rPr>
          <w:rFonts w:ascii="Verdana" w:hAnsi="Verdana"/>
          <w:iCs/>
          <w:color w:val="FF0000"/>
          <w:sz w:val="24"/>
          <w:lang w:val="x-none"/>
        </w:rPr>
        <w:t>No caso de multa:</w:t>
      </w:r>
    </w:p>
    <w:p w14:paraId="151F29A6" w14:textId="77777777" w:rsidR="00E467CA" w:rsidRDefault="00E467CA" w:rsidP="00E467CA">
      <w:pPr>
        <w:pStyle w:val="SemEspaamento"/>
        <w:ind w:left="144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A7" w14:textId="344E7D76" w:rsidR="00E467CA" w:rsidRDefault="00E467CA" w:rsidP="00E467CA">
      <w:pPr>
        <w:pStyle w:val="SemEspaamento"/>
        <w:numPr>
          <w:ilvl w:val="1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1E4812">
        <w:rPr>
          <w:rFonts w:ascii="Verdana" w:hAnsi="Verdana"/>
          <w:iCs/>
          <w:color w:val="FF0000"/>
          <w:sz w:val="24"/>
          <w:lang w:val="x-none"/>
        </w:rPr>
        <w:t xml:space="preserve">definir o cálculo da multa por atraso </w:t>
      </w:r>
      <w:r w:rsidRPr="00CA5EEE">
        <w:rPr>
          <w:rFonts w:ascii="Verdana" w:hAnsi="Verdana"/>
          <w:b/>
          <w:bCs/>
          <w:iCs/>
          <w:color w:val="FF0000"/>
          <w:sz w:val="24"/>
          <w:lang w:val="x-none"/>
        </w:rPr>
        <w:t>injustificado</w:t>
      </w:r>
      <w:r w:rsidRPr="001E4812">
        <w:rPr>
          <w:rFonts w:ascii="Verdana" w:hAnsi="Verdana"/>
          <w:iCs/>
          <w:color w:val="FF0000"/>
          <w:sz w:val="24"/>
          <w:lang w:val="x-none"/>
        </w:rPr>
        <w:t xml:space="preserve"> para início ou atraso durante a execução da prestação dos serviços;</w:t>
      </w:r>
    </w:p>
    <w:p w14:paraId="151F29A8" w14:textId="77777777" w:rsidR="00E467CA" w:rsidRDefault="00E467CA" w:rsidP="00E467CA">
      <w:pPr>
        <w:pStyle w:val="SemEspaamento"/>
        <w:ind w:left="144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A9" w14:textId="77777777" w:rsidR="00E467CA" w:rsidRDefault="00E467CA" w:rsidP="00E467CA">
      <w:pPr>
        <w:pStyle w:val="SemEspaamento"/>
        <w:numPr>
          <w:ilvl w:val="1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1E4812">
        <w:rPr>
          <w:rFonts w:ascii="Verdana" w:hAnsi="Verdana"/>
          <w:iCs/>
          <w:color w:val="FF0000"/>
          <w:sz w:val="24"/>
          <w:lang w:val="x-none"/>
        </w:rPr>
        <w:t>definir a forma de cálculo da multa de modo que seja o mais simples</w:t>
      </w:r>
      <w:r w:rsidRPr="001E4812">
        <w:rPr>
          <w:rFonts w:ascii="Verdana" w:hAnsi="Verdana"/>
          <w:iCs/>
          <w:color w:val="FF0000"/>
          <w:sz w:val="24"/>
        </w:rPr>
        <w:t xml:space="preserve"> </w:t>
      </w:r>
      <w:r w:rsidRPr="001E4812">
        <w:rPr>
          <w:rFonts w:ascii="Verdana" w:hAnsi="Verdana"/>
          <w:iCs/>
          <w:color w:val="FF0000"/>
          <w:sz w:val="24"/>
          <w:lang w:val="x-none"/>
        </w:rPr>
        <w:t>possível;</w:t>
      </w:r>
    </w:p>
    <w:p w14:paraId="151F29AA" w14:textId="77777777" w:rsidR="00E467CA" w:rsidRDefault="00E467CA" w:rsidP="00E467CA">
      <w:pPr>
        <w:pStyle w:val="SemEspaamento"/>
        <w:ind w:left="144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AB" w14:textId="77777777" w:rsidR="00E467CA" w:rsidRDefault="00E467CA" w:rsidP="00E467CA">
      <w:pPr>
        <w:pStyle w:val="SemEspaamento"/>
        <w:numPr>
          <w:ilvl w:val="1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1E4812">
        <w:rPr>
          <w:rFonts w:ascii="Verdana" w:hAnsi="Verdana"/>
          <w:iCs/>
          <w:color w:val="FF0000"/>
          <w:sz w:val="24"/>
          <w:lang w:val="x-none"/>
        </w:rPr>
        <w:t>definir as providências a serem realizadas no caso de multas reincidentes e cumulativas, a exemplo de rescisão contratual;</w:t>
      </w:r>
    </w:p>
    <w:p w14:paraId="151F29AC" w14:textId="77777777" w:rsidR="00E467CA" w:rsidRDefault="00E467CA" w:rsidP="00E467CA">
      <w:pPr>
        <w:pStyle w:val="SemEspaamento"/>
        <w:ind w:left="144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AD" w14:textId="77777777" w:rsidR="00E467CA" w:rsidRDefault="00E467CA" w:rsidP="00E467CA">
      <w:pPr>
        <w:pStyle w:val="SemEspaamento"/>
        <w:numPr>
          <w:ilvl w:val="1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1E4812">
        <w:rPr>
          <w:rFonts w:ascii="Verdana" w:hAnsi="Verdana"/>
          <w:iCs/>
          <w:color w:val="FF0000"/>
          <w:sz w:val="24"/>
          <w:lang w:val="x-none"/>
        </w:rPr>
        <w:t>definir o processo de aferição do nível de desconformidade dos serviços que leva à multa;</w:t>
      </w:r>
    </w:p>
    <w:p w14:paraId="151F29AE" w14:textId="77777777" w:rsidR="00E467CA" w:rsidRDefault="00E467CA" w:rsidP="00E467CA">
      <w:pPr>
        <w:pStyle w:val="SemEspaamento"/>
        <w:ind w:left="1440"/>
        <w:jc w:val="both"/>
        <w:rPr>
          <w:rFonts w:ascii="Verdana" w:hAnsi="Verdana"/>
          <w:iCs/>
          <w:color w:val="FF0000"/>
          <w:sz w:val="24"/>
          <w:lang w:val="x-none"/>
        </w:rPr>
      </w:pPr>
    </w:p>
    <w:p w14:paraId="151F29AF" w14:textId="77777777" w:rsidR="003327CA" w:rsidRPr="00E467CA" w:rsidRDefault="00E467CA" w:rsidP="00E467CA">
      <w:pPr>
        <w:pStyle w:val="SemEspaamento"/>
        <w:numPr>
          <w:ilvl w:val="1"/>
          <w:numId w:val="22"/>
        </w:numPr>
        <w:jc w:val="both"/>
        <w:rPr>
          <w:rFonts w:ascii="Verdana" w:hAnsi="Verdana"/>
          <w:iCs/>
          <w:color w:val="FF0000"/>
          <w:sz w:val="24"/>
          <w:lang w:val="x-none"/>
        </w:rPr>
      </w:pPr>
      <w:r w:rsidRPr="001E4812">
        <w:rPr>
          <w:rFonts w:ascii="Verdana" w:hAnsi="Verdana"/>
          <w:iCs/>
          <w:color w:val="FF0000"/>
          <w:sz w:val="24"/>
          <w:lang w:val="x-none"/>
        </w:rPr>
        <w:t>definir as condições para aplicações de glosas, bem como as respectivas formas de cálculo.</w:t>
      </w:r>
    </w:p>
    <w:p w14:paraId="151F29B0" w14:textId="77777777" w:rsidR="00335F16" w:rsidRPr="00F23EB8" w:rsidRDefault="00335F16" w:rsidP="00335F16">
      <w:pPr>
        <w:pStyle w:val="SemEspaamento"/>
        <w:ind w:left="1701"/>
        <w:jc w:val="both"/>
        <w:rPr>
          <w:rFonts w:ascii="Verdana" w:hAnsi="Verdana"/>
          <w:sz w:val="24"/>
        </w:rPr>
      </w:pPr>
    </w:p>
    <w:p w14:paraId="151F29B1" w14:textId="77777777" w:rsidR="00E64132" w:rsidRDefault="00E64132" w:rsidP="00E64132">
      <w:pPr>
        <w:pStyle w:val="SemEspaamento"/>
        <w:jc w:val="center"/>
        <w:rPr>
          <w:rFonts w:ascii="Verdana" w:hAnsi="Verdana"/>
          <w:b/>
          <w:sz w:val="24"/>
        </w:rPr>
      </w:pPr>
    </w:p>
    <w:p w14:paraId="151F29B2" w14:textId="77777777" w:rsidR="00F4324E" w:rsidRPr="00F23EB8" w:rsidRDefault="00F4324E" w:rsidP="00E64132">
      <w:pPr>
        <w:pStyle w:val="SemEspaamento"/>
        <w:jc w:val="center"/>
        <w:rPr>
          <w:rFonts w:ascii="Verdana" w:hAnsi="Verdana"/>
          <w:b/>
          <w:sz w:val="24"/>
        </w:rPr>
      </w:pPr>
    </w:p>
    <w:p w14:paraId="151F29B3" w14:textId="77777777" w:rsidR="00E64132" w:rsidRPr="00F23EB8" w:rsidRDefault="00E64132" w:rsidP="00E64132">
      <w:pPr>
        <w:pStyle w:val="SemEspaamento"/>
        <w:jc w:val="center"/>
        <w:rPr>
          <w:rFonts w:ascii="Verdana" w:hAnsi="Verdana"/>
          <w:b/>
          <w:sz w:val="24"/>
        </w:rPr>
      </w:pPr>
    </w:p>
    <w:p w14:paraId="151F29B4" w14:textId="77777777" w:rsidR="00E64132" w:rsidRPr="00F23EB8" w:rsidRDefault="00E64132" w:rsidP="00E64132">
      <w:pPr>
        <w:pStyle w:val="SemEspaamento"/>
        <w:rPr>
          <w:rFonts w:ascii="Verdana" w:hAnsi="Verdana"/>
          <w:sz w:val="24"/>
        </w:rPr>
      </w:pPr>
    </w:p>
    <w:bookmarkEnd w:id="0"/>
    <w:p w14:paraId="151F29B5" w14:textId="77777777" w:rsidR="00E64132" w:rsidRPr="00F23EB8" w:rsidRDefault="00E64132" w:rsidP="00E64132">
      <w:pPr>
        <w:pStyle w:val="SemEspaamento"/>
        <w:rPr>
          <w:rFonts w:ascii="Verdana" w:hAnsi="Verdana"/>
          <w:sz w:val="24"/>
        </w:rPr>
      </w:pPr>
    </w:p>
    <w:sectPr w:rsidR="00E64132" w:rsidRPr="00F23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0" w:right="1133" w:bottom="1700" w:left="1133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C3D63" w14:textId="77777777" w:rsidR="00F61C9E" w:rsidRDefault="00F61C9E">
      <w:pPr>
        <w:spacing w:after="0" w:line="240" w:lineRule="auto"/>
      </w:pPr>
      <w:r>
        <w:separator/>
      </w:r>
    </w:p>
  </w:endnote>
  <w:endnote w:type="continuationSeparator" w:id="0">
    <w:p w14:paraId="0AFB7560" w14:textId="77777777" w:rsidR="00F61C9E" w:rsidRDefault="00F6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Ge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4770F" w14:textId="77777777" w:rsidR="00D25737" w:rsidRDefault="00D257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29BC" w14:textId="77777777" w:rsidR="00D617FD" w:rsidRDefault="00EE0C47">
    <w:pPr>
      <w:tabs>
        <w:tab w:val="center" w:pos="4252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51F29C0" wp14:editId="151F29C1">
              <wp:simplePos x="0" y="0"/>
              <wp:positionH relativeFrom="column">
                <wp:posOffset>-79374</wp:posOffset>
              </wp:positionH>
              <wp:positionV relativeFrom="paragraph">
                <wp:posOffset>-533399</wp:posOffset>
              </wp:positionV>
              <wp:extent cx="2333625" cy="809625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2988" y="3351375"/>
                        <a:ext cx="248602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F29CD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0"/>
                            </w:rPr>
                            <w:t>Avenida André Araújo, 701-Aleixo</w:t>
                          </w:r>
                        </w:p>
                        <w:p w14:paraId="151F29CE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0"/>
                            </w:rPr>
                            <w:t>Fone: (92) 3643-6300 / 3634-6302</w:t>
                          </w:r>
                        </w:p>
                        <w:p w14:paraId="151F29CF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0"/>
                            </w:rPr>
                            <w:t>Manaus-AM-CEP 69060-001</w:t>
                          </w:r>
                        </w:p>
                        <w:p w14:paraId="151F29D0" w14:textId="77777777" w:rsidR="00D617FD" w:rsidRDefault="00D617F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151F29C0" id="Retângulo 2" o:spid="_x0000_s1027" style="position:absolute;margin-left:-6.25pt;margin-top:-42pt;width:183.75pt;height:6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" filled="f" stroked="f">
              <v:textbox inset="2.53958mm,1.2694mm,2.53958mm,1.2694mm">
                <w:txbxContent>
                  <w:p w14:paraId="151F29CD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0"/>
                      </w:rPr>
                      <w:t>Avenida André Araújo, 701-Aleixo</w:t>
                    </w:r>
                  </w:p>
                  <w:p w14:paraId="151F29CE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0"/>
                      </w:rPr>
                      <w:t>Fone: (92) 3643-6300 / 3634-6302</w:t>
                    </w:r>
                  </w:p>
                  <w:p w14:paraId="151F29CF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0"/>
                      </w:rPr>
                      <w:t>Manaus-AM-CEP 69060-001</w:t>
                    </w:r>
                  </w:p>
                  <w:p w14:paraId="151F29D0" w14:textId="77777777" w:rsidR="00D617FD" w:rsidRDefault="00D617FD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1F29C2" wp14:editId="151F29C3">
              <wp:simplePos x="0" y="0"/>
              <wp:positionH relativeFrom="column">
                <wp:posOffset>1866900</wp:posOffset>
              </wp:positionH>
              <wp:positionV relativeFrom="paragraph">
                <wp:posOffset>-536574</wp:posOffset>
              </wp:positionV>
              <wp:extent cx="1281906" cy="8096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6863" y="3327563"/>
                        <a:ext cx="14382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F29D1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color w:val="1B325D"/>
                              <w:sz w:val="28"/>
                            </w:rPr>
                            <w:t>Secretaria de</w:t>
                          </w:r>
                        </w:p>
                        <w:p w14:paraId="151F29D2" w14:textId="77777777" w:rsidR="00D617FD" w:rsidRDefault="00EE0C4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eo" w:eastAsia="Geo" w:hAnsi="Geo" w:cs="Geo"/>
                              <w:b/>
                              <w:color w:val="1B325D"/>
                              <w:sz w:val="28"/>
                            </w:rPr>
                            <w:t>Estado de Saúde</w:t>
                          </w:r>
                        </w:p>
                        <w:p w14:paraId="151F29D3" w14:textId="77777777" w:rsidR="00D617FD" w:rsidRDefault="00D617F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151F29C2" id="Retângulo 1" o:spid="_x0000_s1028" style="position:absolute;margin-left:147pt;margin-top:-42.25pt;width:100.9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" filled="f" stroked="f">
              <v:textbox inset="2.53958mm,1.2694mm,2.53958mm,1.2694mm">
                <w:txbxContent>
                  <w:p w14:paraId="151F29D1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color w:val="1B325D"/>
                        <w:sz w:val="28"/>
                      </w:rPr>
                      <w:t>Secretaria de</w:t>
                    </w:r>
                  </w:p>
                  <w:p w14:paraId="151F29D2" w14:textId="77777777" w:rsidR="00D617FD" w:rsidRDefault="00EE0C47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eo" w:eastAsia="Geo" w:hAnsi="Geo" w:cs="Geo"/>
                        <w:b/>
                        <w:color w:val="1B325D"/>
                        <w:sz w:val="28"/>
                      </w:rPr>
                      <w:t>Estado de Saúde</w:t>
                    </w:r>
                  </w:p>
                  <w:p w14:paraId="151F29D3" w14:textId="77777777" w:rsidR="00D617FD" w:rsidRDefault="00D617FD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151F29C4" wp14:editId="151F29C5">
          <wp:simplePos x="0" y="0"/>
          <wp:positionH relativeFrom="column">
            <wp:posOffset>3457575</wp:posOffset>
          </wp:positionH>
          <wp:positionV relativeFrom="paragraph">
            <wp:posOffset>-428624</wp:posOffset>
          </wp:positionV>
          <wp:extent cx="2990850" cy="704850"/>
          <wp:effectExtent l="0" t="0" r="0" b="0"/>
          <wp:wrapSquare wrapText="bothSides" distT="0" distB="0" distL="0" distR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17708"/>
                  <a:stretch>
                    <a:fillRect/>
                  </a:stretch>
                </pic:blipFill>
                <pic:spPr>
                  <a:xfrm>
                    <a:off x="0" y="0"/>
                    <a:ext cx="29908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D9596" w14:textId="77777777" w:rsidR="00D25737" w:rsidRDefault="00D257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021AA" w14:textId="77777777" w:rsidR="00F61C9E" w:rsidRDefault="00F61C9E">
      <w:pPr>
        <w:spacing w:after="0" w:line="240" w:lineRule="auto"/>
      </w:pPr>
      <w:r>
        <w:separator/>
      </w:r>
    </w:p>
  </w:footnote>
  <w:footnote w:type="continuationSeparator" w:id="0">
    <w:p w14:paraId="24EB1DF1" w14:textId="77777777" w:rsidR="00F61C9E" w:rsidRDefault="00F61C9E">
      <w:pPr>
        <w:spacing w:after="0" w:line="240" w:lineRule="auto"/>
      </w:pPr>
      <w:r>
        <w:continuationSeparator/>
      </w:r>
    </w:p>
  </w:footnote>
  <w:footnote w:id="1">
    <w:p w14:paraId="151F29C6" w14:textId="77777777" w:rsidR="00EE5841" w:rsidRPr="006D459E" w:rsidRDefault="00EE5841" w:rsidP="006D459E">
      <w:pPr>
        <w:pStyle w:val="Textodenotaderodap"/>
        <w:jc w:val="both"/>
        <w:rPr>
          <w:rFonts w:ascii="Verdana" w:hAnsi="Verdana"/>
        </w:rPr>
      </w:pPr>
      <w:r w:rsidRPr="006D459E">
        <w:rPr>
          <w:rStyle w:val="Refdenotaderodap"/>
          <w:rFonts w:ascii="Verdana" w:hAnsi="Verdana"/>
        </w:rPr>
        <w:footnoteRef/>
      </w:r>
      <w:r w:rsidRPr="006D459E">
        <w:rPr>
          <w:rFonts w:ascii="Verdana" w:hAnsi="Verdana"/>
        </w:rPr>
        <w:t xml:space="preserve"> Lei nº 8.666, de 21 de junho de 1993: “Art. 6º Para os fins desta Lei, considera-se: (...) IX – Projeto Básico – conjunto de elementos necessários e suficientes, com nível de precisão adequado, para caracterizar a obra ou serviço, ou complexo de obras ou serviços objeto da licitação, </w:t>
      </w:r>
      <w:r w:rsidRPr="006D459E">
        <w:rPr>
          <w:rFonts w:ascii="Verdana" w:hAnsi="Verdana"/>
          <w:b/>
          <w:u w:val="single"/>
        </w:rPr>
        <w:t>elaborado com base nas indicações dos estudos técnicos preliminares</w:t>
      </w:r>
      <w:r w:rsidRPr="006D459E">
        <w:rPr>
          <w:rFonts w:ascii="Verdana" w:hAnsi="Verdana"/>
        </w:rPr>
        <w:t>, que assegurem a viabilidade técnica e o adequado tratamento do impacto ambiental do empreendimento, e que possibilite a avaliação do custo da obra e a definição dos métodos e do prazo de execução, devendo conter os seguintes elementos (...).”</w:t>
      </w:r>
    </w:p>
  </w:footnote>
  <w:footnote w:id="2">
    <w:p w14:paraId="151F29C7" w14:textId="55D3A50A" w:rsidR="0048434C" w:rsidRPr="006D459E" w:rsidRDefault="0048434C" w:rsidP="006D459E">
      <w:pPr>
        <w:pStyle w:val="Textodenotaderodap"/>
        <w:jc w:val="both"/>
        <w:rPr>
          <w:rFonts w:ascii="Verdana" w:hAnsi="Verdana"/>
        </w:rPr>
      </w:pPr>
      <w:r w:rsidRPr="006D459E">
        <w:rPr>
          <w:rStyle w:val="Refdenotaderodap"/>
          <w:rFonts w:ascii="Verdana" w:hAnsi="Verdana"/>
        </w:rPr>
        <w:footnoteRef/>
      </w:r>
      <w:r w:rsidR="00E0749C">
        <w:rPr>
          <w:rFonts w:ascii="Verdana" w:hAnsi="Verdana"/>
        </w:rPr>
        <w:t xml:space="preserve"> </w:t>
      </w:r>
      <w:r w:rsidR="009C4D94">
        <w:rPr>
          <w:rFonts w:ascii="Verdana" w:hAnsi="Verdana"/>
        </w:rPr>
        <w:t>P</w:t>
      </w:r>
      <w:r w:rsidR="00BA69FB">
        <w:rPr>
          <w:rFonts w:ascii="Verdana" w:hAnsi="Verdana"/>
        </w:rPr>
        <w:t xml:space="preserve">rática vedada pelo §5º do art. 23 da Lei n.º 8.666/93, caracterizada pela </w:t>
      </w:r>
      <w:r w:rsidR="00BA69FB" w:rsidRPr="00E0749C">
        <w:rPr>
          <w:rFonts w:ascii="Verdana" w:hAnsi="Verdana"/>
          <w:b/>
          <w:u w:val="single"/>
        </w:rPr>
        <w:t>divisão da despesa com o propósito de utilizar modalidade de licitação inferior à recomendada pela lei para a totalidade de gastos ou para possibilitar a dispensa de licitação em razão de valores</w:t>
      </w:r>
      <w:r w:rsidR="00BA69FB">
        <w:rPr>
          <w:rFonts w:ascii="Verdana" w:hAnsi="Verdana"/>
        </w:rPr>
        <w:t>.</w:t>
      </w:r>
    </w:p>
  </w:footnote>
  <w:footnote w:id="3">
    <w:p w14:paraId="151F29C9" w14:textId="77777777" w:rsidR="006D459E" w:rsidRPr="006D459E" w:rsidRDefault="006D459E" w:rsidP="006D459E">
      <w:pPr>
        <w:pStyle w:val="Textodenotaderodap"/>
        <w:jc w:val="both"/>
        <w:rPr>
          <w:rFonts w:ascii="Verdana" w:hAnsi="Verdana"/>
        </w:rPr>
      </w:pPr>
      <w:r w:rsidRPr="006D459E">
        <w:rPr>
          <w:rStyle w:val="Refdenotaderodap"/>
          <w:rFonts w:ascii="Verdana" w:hAnsi="Verdana"/>
        </w:rPr>
        <w:footnoteRef/>
      </w:r>
      <w:r w:rsidRPr="006D459E">
        <w:rPr>
          <w:rFonts w:ascii="Verdana" w:hAnsi="Verdana"/>
        </w:rPr>
        <w:t>Jurisprudência do Tribunal de Contas da União:</w:t>
      </w:r>
      <w:r>
        <w:rPr>
          <w:rFonts w:ascii="Verdana" w:hAnsi="Verdana"/>
        </w:rPr>
        <w:t xml:space="preserve"> [...]</w:t>
      </w:r>
    </w:p>
    <w:p w14:paraId="151F29CA" w14:textId="77777777" w:rsidR="006D459E" w:rsidRPr="006D459E" w:rsidRDefault="006D459E" w:rsidP="006D459E">
      <w:pPr>
        <w:pStyle w:val="Textodenotaderodap"/>
        <w:jc w:val="both"/>
        <w:rPr>
          <w:rFonts w:ascii="Verdana" w:hAnsi="Verdana"/>
        </w:rPr>
      </w:pPr>
      <w:r w:rsidRPr="006D459E">
        <w:rPr>
          <w:rFonts w:ascii="Verdana" w:hAnsi="Verdana"/>
        </w:rPr>
        <w:t>9.1.1. providencie portaria de designação específica para fiscalização de cada contrato, com atestado de recebimento pelo fiscal designado e que constem claramente as atribuições e responsabilidades, de acordo com o estabelecido pela Lei 8.666/93 em seu artigo 67;</w:t>
      </w:r>
    </w:p>
    <w:p w14:paraId="151F29CB" w14:textId="77777777" w:rsidR="006D459E" w:rsidRPr="006D459E" w:rsidRDefault="006D459E" w:rsidP="006D459E">
      <w:pPr>
        <w:pStyle w:val="Textodenotaderodap"/>
        <w:jc w:val="both"/>
        <w:rPr>
          <w:rFonts w:ascii="Verdana" w:hAnsi="Verdana"/>
        </w:rPr>
      </w:pPr>
      <w:r w:rsidRPr="006D459E">
        <w:rPr>
          <w:rFonts w:ascii="Verdana" w:hAnsi="Verdana"/>
        </w:rPr>
        <w:t>9.1.2. designe fiscais considerando a formação acadêmica ou técnica do servidor/funcionário, a segregação entre as funções de gestão e de fiscalização do contrato, bem como o comprometimento concomitante com outros serviços ou contratos, de forma a evitar que o fiscal responsável fique sobrecarregado devido a muitos contratos sob sua responsabilidade;</w:t>
      </w:r>
    </w:p>
    <w:p w14:paraId="151F29CC" w14:textId="77777777" w:rsidR="006D459E" w:rsidRPr="006D459E" w:rsidRDefault="006D459E" w:rsidP="006D459E">
      <w:pPr>
        <w:pStyle w:val="Textodenotaderodap"/>
        <w:jc w:val="both"/>
        <w:rPr>
          <w:rFonts w:ascii="Verdana" w:hAnsi="Verdana"/>
          <w:lang w:val="x-none"/>
        </w:rPr>
      </w:pPr>
      <w:r w:rsidRPr="006D459E">
        <w:rPr>
          <w:rFonts w:ascii="Verdana" w:hAnsi="Verdana"/>
        </w:rPr>
        <w:t>9.1.3. realize sistematicamente o acompanhamento dos trabalhos realizados pelos fiscais; (Acórdão nº 1094/2013-Plenário).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3D2F7" w14:textId="77777777" w:rsidR="00D25737" w:rsidRDefault="00D2573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29BA" w14:textId="77777777" w:rsidR="00D617FD" w:rsidRDefault="00EE0C47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0" distB="0" distL="0" distR="0" wp14:anchorId="151F29BD" wp14:editId="151F29BE">
          <wp:extent cx="2085975" cy="746831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746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1F29BB" w14:textId="77777777" w:rsidR="00D617FD" w:rsidRDefault="00D17168">
    <w:pPr>
      <w:tabs>
        <w:tab w:val="center" w:pos="4252"/>
        <w:tab w:val="right" w:pos="8504"/>
      </w:tabs>
      <w:spacing w:after="0" w:line="240" w:lineRule="auto"/>
      <w:jc w:val="center"/>
      <w:rPr>
        <w:sz w:val="12"/>
        <w:szCs w:val="12"/>
      </w:rPr>
    </w:pPr>
    <w:r>
      <w:pict w14:anchorId="151F29BF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A9B5" w14:textId="77777777" w:rsidR="00D25737" w:rsidRDefault="00D257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657B"/>
    <w:multiLevelType w:val="multilevel"/>
    <w:tmpl w:val="05446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C60FE4"/>
    <w:multiLevelType w:val="multilevel"/>
    <w:tmpl w:val="CDA8597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040D095F"/>
    <w:multiLevelType w:val="multilevel"/>
    <w:tmpl w:val="DB8E8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88605F"/>
    <w:multiLevelType w:val="multilevel"/>
    <w:tmpl w:val="8B802A1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075A34"/>
    <w:multiLevelType w:val="hybridMultilevel"/>
    <w:tmpl w:val="483EC1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A3ADC"/>
    <w:multiLevelType w:val="hybridMultilevel"/>
    <w:tmpl w:val="A8EA8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25AD5"/>
    <w:multiLevelType w:val="hybridMultilevel"/>
    <w:tmpl w:val="D4F4407A"/>
    <w:lvl w:ilvl="0" w:tplc="E5B29878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07AE4EEB"/>
    <w:multiLevelType w:val="hybridMultilevel"/>
    <w:tmpl w:val="B2D4F46E"/>
    <w:lvl w:ilvl="0" w:tplc="B1965D72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92C11E6"/>
    <w:multiLevelType w:val="hybridMultilevel"/>
    <w:tmpl w:val="EF6EE08C"/>
    <w:lvl w:ilvl="0" w:tplc="08146C42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A576ED2"/>
    <w:multiLevelType w:val="multilevel"/>
    <w:tmpl w:val="5D004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15470DC"/>
    <w:multiLevelType w:val="hybridMultilevel"/>
    <w:tmpl w:val="39F844A0"/>
    <w:lvl w:ilvl="0" w:tplc="03424F8C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2DD5E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DC62D1"/>
    <w:multiLevelType w:val="hybridMultilevel"/>
    <w:tmpl w:val="4CF26AA0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8385C9D"/>
    <w:multiLevelType w:val="multilevel"/>
    <w:tmpl w:val="55AC2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9F21411"/>
    <w:multiLevelType w:val="hybridMultilevel"/>
    <w:tmpl w:val="20CCAA4A"/>
    <w:lvl w:ilvl="0" w:tplc="668A12D4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1CA92AB1"/>
    <w:multiLevelType w:val="multilevel"/>
    <w:tmpl w:val="05446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EA43115"/>
    <w:multiLevelType w:val="multilevel"/>
    <w:tmpl w:val="55AC2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73008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9F079F"/>
    <w:multiLevelType w:val="hybridMultilevel"/>
    <w:tmpl w:val="0C88344E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>
    <w:nsid w:val="2A3B51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811E57"/>
    <w:multiLevelType w:val="hybridMultilevel"/>
    <w:tmpl w:val="5F8CEC86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2C9A5897"/>
    <w:multiLevelType w:val="hybridMultilevel"/>
    <w:tmpl w:val="9FC03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CF0723"/>
    <w:multiLevelType w:val="hybridMultilevel"/>
    <w:tmpl w:val="C764D2A6"/>
    <w:lvl w:ilvl="0" w:tplc="DA1E3142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>
    <w:nsid w:val="2F325DE9"/>
    <w:multiLevelType w:val="hybridMultilevel"/>
    <w:tmpl w:val="89B425F0"/>
    <w:lvl w:ilvl="0" w:tplc="C7B64278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37020D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EE35AAB"/>
    <w:multiLevelType w:val="multilevel"/>
    <w:tmpl w:val="4DBCBD1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20C03D6"/>
    <w:multiLevelType w:val="hybridMultilevel"/>
    <w:tmpl w:val="0E121BE6"/>
    <w:lvl w:ilvl="0" w:tplc="B7C24486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44943692"/>
    <w:multiLevelType w:val="hybridMultilevel"/>
    <w:tmpl w:val="2F3A4012"/>
    <w:lvl w:ilvl="0" w:tplc="747AFCB0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4B9219A"/>
    <w:multiLevelType w:val="hybridMultilevel"/>
    <w:tmpl w:val="DDC097E0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47DF692B"/>
    <w:multiLevelType w:val="hybridMultilevel"/>
    <w:tmpl w:val="363E51F6"/>
    <w:lvl w:ilvl="0" w:tplc="BE20428E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48621FED"/>
    <w:multiLevelType w:val="hybridMultilevel"/>
    <w:tmpl w:val="37644984"/>
    <w:lvl w:ilvl="0" w:tplc="99ACCD1A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C89722F"/>
    <w:multiLevelType w:val="hybridMultilevel"/>
    <w:tmpl w:val="0CD6DE70"/>
    <w:lvl w:ilvl="0" w:tplc="21A62D6E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51114894"/>
    <w:multiLevelType w:val="hybridMultilevel"/>
    <w:tmpl w:val="F32C9DBA"/>
    <w:lvl w:ilvl="0" w:tplc="576E7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B46A7F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64795"/>
    <w:multiLevelType w:val="hybridMultilevel"/>
    <w:tmpl w:val="92ECF5CA"/>
    <w:lvl w:ilvl="0" w:tplc="D66456D8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D781475"/>
    <w:multiLevelType w:val="multilevel"/>
    <w:tmpl w:val="70DAD30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1D15D36"/>
    <w:multiLevelType w:val="hybridMultilevel"/>
    <w:tmpl w:val="A13293B6"/>
    <w:lvl w:ilvl="0" w:tplc="27069968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3F0396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F3755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F4B4D22"/>
    <w:multiLevelType w:val="hybridMultilevel"/>
    <w:tmpl w:val="2E12B41E"/>
    <w:lvl w:ilvl="0" w:tplc="710E9568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>
    <w:nsid w:val="779A2A10"/>
    <w:multiLevelType w:val="hybridMultilevel"/>
    <w:tmpl w:val="D0247382"/>
    <w:lvl w:ilvl="0" w:tplc="04160009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>
    <w:nsid w:val="78AF3476"/>
    <w:multiLevelType w:val="hybridMultilevel"/>
    <w:tmpl w:val="571EAC4C"/>
    <w:lvl w:ilvl="0" w:tplc="7646CD84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>
    <w:nsid w:val="79FA376A"/>
    <w:multiLevelType w:val="hybridMultilevel"/>
    <w:tmpl w:val="4E940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44490"/>
    <w:multiLevelType w:val="hybridMultilevel"/>
    <w:tmpl w:val="051C3C70"/>
    <w:lvl w:ilvl="0" w:tplc="0DA03294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24"/>
  </w:num>
  <w:num w:numId="7">
    <w:abstractNumId w:val="17"/>
  </w:num>
  <w:num w:numId="8">
    <w:abstractNumId w:val="19"/>
  </w:num>
  <w:num w:numId="9">
    <w:abstractNumId w:val="2"/>
  </w:num>
  <w:num w:numId="10">
    <w:abstractNumId w:val="34"/>
  </w:num>
  <w:num w:numId="11">
    <w:abstractNumId w:val="15"/>
  </w:num>
  <w:num w:numId="12">
    <w:abstractNumId w:val="0"/>
  </w:num>
  <w:num w:numId="13">
    <w:abstractNumId w:val="37"/>
  </w:num>
  <w:num w:numId="14">
    <w:abstractNumId w:val="36"/>
  </w:num>
  <w:num w:numId="15">
    <w:abstractNumId w:val="13"/>
  </w:num>
  <w:num w:numId="16">
    <w:abstractNumId w:val="32"/>
  </w:num>
  <w:num w:numId="17">
    <w:abstractNumId w:val="12"/>
  </w:num>
  <w:num w:numId="18">
    <w:abstractNumId w:val="41"/>
  </w:num>
  <w:num w:numId="19">
    <w:abstractNumId w:val="21"/>
  </w:num>
  <w:num w:numId="20">
    <w:abstractNumId w:val="39"/>
  </w:num>
  <w:num w:numId="21">
    <w:abstractNumId w:val="3"/>
  </w:num>
  <w:num w:numId="22">
    <w:abstractNumId w:val="4"/>
  </w:num>
  <w:num w:numId="23">
    <w:abstractNumId w:val="25"/>
  </w:num>
  <w:num w:numId="24">
    <w:abstractNumId w:val="30"/>
  </w:num>
  <w:num w:numId="25">
    <w:abstractNumId w:val="33"/>
  </w:num>
  <w:num w:numId="26">
    <w:abstractNumId w:val="26"/>
  </w:num>
  <w:num w:numId="27">
    <w:abstractNumId w:val="29"/>
  </w:num>
  <w:num w:numId="28">
    <w:abstractNumId w:val="6"/>
  </w:num>
  <w:num w:numId="29">
    <w:abstractNumId w:val="28"/>
  </w:num>
  <w:num w:numId="30">
    <w:abstractNumId w:val="40"/>
  </w:num>
  <w:num w:numId="31">
    <w:abstractNumId w:val="22"/>
  </w:num>
  <w:num w:numId="32">
    <w:abstractNumId w:val="8"/>
  </w:num>
  <w:num w:numId="33">
    <w:abstractNumId w:val="38"/>
  </w:num>
  <w:num w:numId="34">
    <w:abstractNumId w:val="14"/>
  </w:num>
  <w:num w:numId="35">
    <w:abstractNumId w:val="7"/>
  </w:num>
  <w:num w:numId="36">
    <w:abstractNumId w:val="35"/>
  </w:num>
  <w:num w:numId="37">
    <w:abstractNumId w:val="27"/>
  </w:num>
  <w:num w:numId="38">
    <w:abstractNumId w:val="42"/>
  </w:num>
  <w:num w:numId="39">
    <w:abstractNumId w:val="20"/>
  </w:num>
  <w:num w:numId="40">
    <w:abstractNumId w:val="23"/>
  </w:num>
  <w:num w:numId="41">
    <w:abstractNumId w:val="10"/>
  </w:num>
  <w:num w:numId="42">
    <w:abstractNumId w:val="3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FD"/>
    <w:rsid w:val="00011DDC"/>
    <w:rsid w:val="00030208"/>
    <w:rsid w:val="00037976"/>
    <w:rsid w:val="000411A1"/>
    <w:rsid w:val="00045673"/>
    <w:rsid w:val="00075C54"/>
    <w:rsid w:val="00076F6C"/>
    <w:rsid w:val="00092A20"/>
    <w:rsid w:val="000E4539"/>
    <w:rsid w:val="0011019B"/>
    <w:rsid w:val="001237F8"/>
    <w:rsid w:val="00146518"/>
    <w:rsid w:val="001958D9"/>
    <w:rsid w:val="00197E07"/>
    <w:rsid w:val="001A223F"/>
    <w:rsid w:val="001A5CBB"/>
    <w:rsid w:val="001C44C9"/>
    <w:rsid w:val="001E4812"/>
    <w:rsid w:val="00235EA3"/>
    <w:rsid w:val="00245C06"/>
    <w:rsid w:val="002551DC"/>
    <w:rsid w:val="00261E77"/>
    <w:rsid w:val="00284F87"/>
    <w:rsid w:val="002E2B17"/>
    <w:rsid w:val="002E3154"/>
    <w:rsid w:val="003017F4"/>
    <w:rsid w:val="0030509E"/>
    <w:rsid w:val="003057FB"/>
    <w:rsid w:val="00325AFA"/>
    <w:rsid w:val="003327CA"/>
    <w:rsid w:val="00335F16"/>
    <w:rsid w:val="0035203D"/>
    <w:rsid w:val="003D7212"/>
    <w:rsid w:val="003E24F6"/>
    <w:rsid w:val="003E6B7D"/>
    <w:rsid w:val="0040163A"/>
    <w:rsid w:val="00422492"/>
    <w:rsid w:val="00454E40"/>
    <w:rsid w:val="0048434C"/>
    <w:rsid w:val="00487753"/>
    <w:rsid w:val="00491F6C"/>
    <w:rsid w:val="004E5B53"/>
    <w:rsid w:val="004F4248"/>
    <w:rsid w:val="004F5C6F"/>
    <w:rsid w:val="00504554"/>
    <w:rsid w:val="00540E7F"/>
    <w:rsid w:val="00585DF5"/>
    <w:rsid w:val="005C25BF"/>
    <w:rsid w:val="005C44A8"/>
    <w:rsid w:val="005C5233"/>
    <w:rsid w:val="005D15D5"/>
    <w:rsid w:val="005E0F5A"/>
    <w:rsid w:val="005E435D"/>
    <w:rsid w:val="005F31B0"/>
    <w:rsid w:val="005F401A"/>
    <w:rsid w:val="00636C45"/>
    <w:rsid w:val="00636E0C"/>
    <w:rsid w:val="006521B3"/>
    <w:rsid w:val="00670BFC"/>
    <w:rsid w:val="006745B1"/>
    <w:rsid w:val="00683D6D"/>
    <w:rsid w:val="0069235D"/>
    <w:rsid w:val="00693083"/>
    <w:rsid w:val="00697C01"/>
    <w:rsid w:val="006C4CCB"/>
    <w:rsid w:val="006C5EDD"/>
    <w:rsid w:val="006D2699"/>
    <w:rsid w:val="006D3EBA"/>
    <w:rsid w:val="006D459E"/>
    <w:rsid w:val="006D5A05"/>
    <w:rsid w:val="006D65CC"/>
    <w:rsid w:val="00757A08"/>
    <w:rsid w:val="00764300"/>
    <w:rsid w:val="007744DA"/>
    <w:rsid w:val="00792966"/>
    <w:rsid w:val="00796733"/>
    <w:rsid w:val="007F0BAC"/>
    <w:rsid w:val="00826254"/>
    <w:rsid w:val="008318A9"/>
    <w:rsid w:val="008374E1"/>
    <w:rsid w:val="00860E9D"/>
    <w:rsid w:val="008636F6"/>
    <w:rsid w:val="00865202"/>
    <w:rsid w:val="008A3790"/>
    <w:rsid w:val="008D1980"/>
    <w:rsid w:val="008E511B"/>
    <w:rsid w:val="00920290"/>
    <w:rsid w:val="00930ACA"/>
    <w:rsid w:val="00955571"/>
    <w:rsid w:val="009B1234"/>
    <w:rsid w:val="009B16BA"/>
    <w:rsid w:val="009C4D94"/>
    <w:rsid w:val="009E1C06"/>
    <w:rsid w:val="009E3C28"/>
    <w:rsid w:val="00A47CCB"/>
    <w:rsid w:val="00A97DEA"/>
    <w:rsid w:val="00AB09E9"/>
    <w:rsid w:val="00AB264D"/>
    <w:rsid w:val="00AB4048"/>
    <w:rsid w:val="00AC43F6"/>
    <w:rsid w:val="00AC4E25"/>
    <w:rsid w:val="00AE625F"/>
    <w:rsid w:val="00AF20C1"/>
    <w:rsid w:val="00AF384A"/>
    <w:rsid w:val="00B25099"/>
    <w:rsid w:val="00B26750"/>
    <w:rsid w:val="00B31844"/>
    <w:rsid w:val="00B47012"/>
    <w:rsid w:val="00B66A22"/>
    <w:rsid w:val="00B677BA"/>
    <w:rsid w:val="00B958AF"/>
    <w:rsid w:val="00BA69FB"/>
    <w:rsid w:val="00BA7602"/>
    <w:rsid w:val="00BD413C"/>
    <w:rsid w:val="00BE3B2D"/>
    <w:rsid w:val="00BE4894"/>
    <w:rsid w:val="00C047BD"/>
    <w:rsid w:val="00C122F7"/>
    <w:rsid w:val="00C442FF"/>
    <w:rsid w:val="00C6693A"/>
    <w:rsid w:val="00CA5EEE"/>
    <w:rsid w:val="00CB7971"/>
    <w:rsid w:val="00CC41A7"/>
    <w:rsid w:val="00CD7385"/>
    <w:rsid w:val="00D17168"/>
    <w:rsid w:val="00D25737"/>
    <w:rsid w:val="00D33669"/>
    <w:rsid w:val="00D53B50"/>
    <w:rsid w:val="00D54E6C"/>
    <w:rsid w:val="00D617FD"/>
    <w:rsid w:val="00D6758E"/>
    <w:rsid w:val="00D7253F"/>
    <w:rsid w:val="00DD02F5"/>
    <w:rsid w:val="00DD28AE"/>
    <w:rsid w:val="00E0749C"/>
    <w:rsid w:val="00E35A4A"/>
    <w:rsid w:val="00E35FB3"/>
    <w:rsid w:val="00E467CA"/>
    <w:rsid w:val="00E50214"/>
    <w:rsid w:val="00E64132"/>
    <w:rsid w:val="00E673C4"/>
    <w:rsid w:val="00E845EC"/>
    <w:rsid w:val="00E9043F"/>
    <w:rsid w:val="00EB72A3"/>
    <w:rsid w:val="00EC450B"/>
    <w:rsid w:val="00EE0C47"/>
    <w:rsid w:val="00EE5841"/>
    <w:rsid w:val="00F14628"/>
    <w:rsid w:val="00F23EB8"/>
    <w:rsid w:val="00F258FE"/>
    <w:rsid w:val="00F4324E"/>
    <w:rsid w:val="00F50A8B"/>
    <w:rsid w:val="00F60CC4"/>
    <w:rsid w:val="00F616B7"/>
    <w:rsid w:val="00F61C9E"/>
    <w:rsid w:val="00F62EB6"/>
    <w:rsid w:val="00F632AB"/>
    <w:rsid w:val="00F71B80"/>
    <w:rsid w:val="00F86EFB"/>
    <w:rsid w:val="00F95C52"/>
    <w:rsid w:val="00FC1AAC"/>
    <w:rsid w:val="00FD5C5D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  <w14:docId w14:val="151F28D7"/>
  <w15:docId w15:val="{CE5D8C19-0910-4095-AB71-46ED6FF1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32A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69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E1C06"/>
    <w:pPr>
      <w:spacing w:after="0" w:line="240" w:lineRule="auto"/>
      <w:jc w:val="both"/>
    </w:pPr>
    <w:rPr>
      <w:rFonts w:ascii="Comic Sans MS" w:eastAsia="Times New Roman" w:hAnsi="Comic Sans MS" w:cs="Times New Roman"/>
      <w:iCs/>
      <w:sz w:val="20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E1C06"/>
    <w:rPr>
      <w:rFonts w:ascii="Comic Sans MS" w:eastAsia="Times New Roman" w:hAnsi="Comic Sans MS" w:cs="Times New Roman"/>
      <w:iCs/>
      <w:sz w:val="20"/>
      <w:szCs w:val="24"/>
      <w:lang w:val="x-none" w:eastAsia="x-none"/>
    </w:rPr>
  </w:style>
  <w:style w:type="character" w:customStyle="1" w:styleId="fontstyle01">
    <w:name w:val="fontstyle01"/>
    <w:rsid w:val="009E1C06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9E1C06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1C06"/>
    <w:pPr>
      <w:ind w:left="720"/>
      <w:contextualSpacing/>
    </w:pPr>
    <w:rPr>
      <w:rFonts w:eastAsia="Times New Roman" w:cs="Times New Roman"/>
    </w:rPr>
  </w:style>
  <w:style w:type="paragraph" w:customStyle="1" w:styleId="PargrafodaLista1">
    <w:name w:val="Parágrafo da Lista1"/>
    <w:basedOn w:val="Normal"/>
    <w:qFormat/>
    <w:rsid w:val="009E1C06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paragraph" w:styleId="SemEspaamento">
    <w:name w:val="No Spacing"/>
    <w:uiPriority w:val="1"/>
    <w:qFormat/>
    <w:rsid w:val="00E64132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42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42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42FF"/>
    <w:rPr>
      <w:vertAlign w:val="superscri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235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235D"/>
    <w:rPr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D25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737"/>
  </w:style>
  <w:style w:type="paragraph" w:styleId="Rodap">
    <w:name w:val="footer"/>
    <w:basedOn w:val="Normal"/>
    <w:link w:val="RodapChar"/>
    <w:uiPriority w:val="99"/>
    <w:unhideWhenUsed/>
    <w:rsid w:val="00D25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737"/>
  </w:style>
  <w:style w:type="character" w:styleId="Hyperlink">
    <w:name w:val="Hyperlink"/>
    <w:basedOn w:val="Fontepargpadro"/>
    <w:uiPriority w:val="99"/>
    <w:unhideWhenUsed/>
    <w:rsid w:val="005F4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b@saude.am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785C-B979-4F73-8497-2C84676A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2961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dos Santos Aranha</dc:creator>
  <cp:keywords/>
  <dc:description/>
  <cp:lastModifiedBy>Ana Beatriz Duque Johnson Caetano</cp:lastModifiedBy>
  <cp:revision>4</cp:revision>
  <cp:lastPrinted>2020-02-07T20:22:00Z</cp:lastPrinted>
  <dcterms:created xsi:type="dcterms:W3CDTF">2020-05-18T13:05:00Z</dcterms:created>
  <dcterms:modified xsi:type="dcterms:W3CDTF">2020-06-08T13:46:00Z</dcterms:modified>
</cp:coreProperties>
</file>